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2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0"/>
          <w:szCs w:val="40"/>
        </w:rPr>
        <w:t>河南省高等学校优秀基层教学组织认定标准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指标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分值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规章制度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队伍建设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</w:t>
            </w:r>
            <w:r>
              <w:rPr>
                <w:rFonts w:ascii="FangSong_GB2312" w:hAnsi="宋体"/>
                <w:kern w:val="0"/>
                <w:szCs w:val="21"/>
              </w:rPr>
              <w:t>30</w:t>
            </w:r>
            <w:r>
              <w:rPr>
                <w:rFonts w:hint="eastAsia" w:ascii="FangSong_GB2312" w:hAnsi="宋体"/>
                <w:kern w:val="0"/>
                <w:szCs w:val="21"/>
              </w:rPr>
              <w:t>人以下，成员年龄、学历、职称、学缘结构合理；教师传帮带机制健全，新入职教师均经过</w:t>
            </w:r>
            <w:r>
              <w:rPr>
                <w:rFonts w:ascii="FangSong_GB2312" w:hAnsi="宋体"/>
                <w:kern w:val="0"/>
                <w:szCs w:val="21"/>
              </w:rPr>
              <w:t>20</w:t>
            </w:r>
            <w:r>
              <w:rPr>
                <w:rFonts w:hint="eastAsia" w:ascii="FangSong_GB2312" w:hAnsi="宋体"/>
                <w:kern w:val="0"/>
                <w:szCs w:val="21"/>
              </w:rPr>
              <w:t>天以上系统培训并配有指导教师。高职院校专任教师“双师型”教师比例</w:t>
            </w:r>
            <w:r>
              <w:rPr>
                <w:rFonts w:ascii="FangSong_GB2312" w:hAnsi="宋体"/>
                <w:kern w:val="0"/>
                <w:szCs w:val="21"/>
              </w:rPr>
              <w:t>60%</w:t>
            </w:r>
            <w:r>
              <w:rPr>
                <w:rFonts w:hint="eastAsia" w:ascii="FangSong_GB2312" w:hAnsi="宋体"/>
                <w:kern w:val="0"/>
                <w:szCs w:val="21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FangSong_GB2312" w:hAnsi="宋体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组织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15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FangSong_GB2312" w:hAnsi="宋体"/>
                <w:kern w:val="0"/>
                <w:szCs w:val="21"/>
              </w:rPr>
              <w:t>2</w:t>
            </w:r>
            <w:r>
              <w:rPr>
                <w:rFonts w:hint="eastAsia" w:ascii="FangSong_GB2312" w:hAnsi="宋体"/>
                <w:kern w:val="0"/>
                <w:szCs w:val="21"/>
              </w:rPr>
              <w:t>年无教学事故；建立有教学评价和质量分析反馈机制；每学年教授为本、专科生上课率</w:t>
            </w:r>
            <w:r>
              <w:rPr>
                <w:rFonts w:ascii="FangSong_GB2312" w:hAnsi="宋体"/>
                <w:kern w:val="0"/>
                <w:szCs w:val="21"/>
              </w:rPr>
              <w:t>100%</w:t>
            </w:r>
            <w:r>
              <w:rPr>
                <w:rFonts w:hint="eastAsia" w:ascii="FangSong_GB2312" w:hAnsi="宋体"/>
                <w:kern w:val="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课程教材建设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教学研究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15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承担有校级及以上教改项目，参与教师占比达到</w:t>
            </w:r>
            <w:r>
              <w:rPr>
                <w:rFonts w:ascii="FangSong_GB2312" w:hAnsi="宋体"/>
                <w:kern w:val="0"/>
                <w:szCs w:val="21"/>
              </w:rPr>
              <w:t>80%</w:t>
            </w:r>
            <w:r>
              <w:rPr>
                <w:rFonts w:hint="eastAsia" w:ascii="FangSong_GB2312" w:hAnsi="宋体"/>
                <w:kern w:val="0"/>
                <w:szCs w:val="21"/>
              </w:rPr>
              <w:t>，获得校级以上教学成果奖；教师人均·学年发表教研论文达</w:t>
            </w:r>
            <w:r>
              <w:rPr>
                <w:rFonts w:ascii="FangSong_GB2312" w:hAnsi="宋体"/>
                <w:kern w:val="0"/>
                <w:szCs w:val="21"/>
              </w:rPr>
              <w:t>0.3</w:t>
            </w:r>
            <w:r>
              <w:rPr>
                <w:rFonts w:hint="eastAsia" w:ascii="FangSong_GB2312" w:hAnsi="宋体"/>
                <w:kern w:val="0"/>
                <w:szCs w:val="21"/>
              </w:rPr>
              <w:t>篇；每</w:t>
            </w:r>
            <w:r>
              <w:rPr>
                <w:rFonts w:ascii="FangSong_GB2312" w:hAnsi="宋体"/>
                <w:kern w:val="0"/>
                <w:szCs w:val="21"/>
              </w:rPr>
              <w:t>2</w:t>
            </w:r>
            <w:r>
              <w:rPr>
                <w:rFonts w:hint="eastAsia" w:ascii="FangSong_GB2312" w:hAnsi="宋体"/>
                <w:kern w:val="0"/>
                <w:szCs w:val="21"/>
              </w:rPr>
              <w:t>周开展</w:t>
            </w:r>
            <w:r>
              <w:rPr>
                <w:rFonts w:ascii="FangSong_GB2312" w:hAnsi="宋体"/>
                <w:kern w:val="0"/>
                <w:szCs w:val="21"/>
              </w:rPr>
              <w:t>1</w:t>
            </w:r>
            <w:r>
              <w:rPr>
                <w:rFonts w:hint="eastAsia" w:ascii="FangSong_GB2312" w:hAnsi="宋体"/>
                <w:kern w:val="0"/>
                <w:szCs w:val="21"/>
              </w:rPr>
              <w:t>次集体教育教学研究活动；教师人均</w:t>
            </w:r>
            <w:r>
              <w:rPr>
                <w:kern w:val="0"/>
                <w:szCs w:val="21"/>
                <w:cs/>
              </w:rPr>
              <w:t>•</w:t>
            </w:r>
            <w:r>
              <w:rPr>
                <w:rFonts w:hint="eastAsia" w:ascii="FangSong_GB2312" w:hAnsi="宋体"/>
                <w:kern w:val="0"/>
                <w:szCs w:val="21"/>
              </w:rPr>
              <w:t>学年</w:t>
            </w:r>
            <w:r>
              <w:rPr>
                <w:rFonts w:ascii="FangSong_GB2312" w:hAnsi="宋体"/>
                <w:kern w:val="0"/>
                <w:szCs w:val="21"/>
              </w:rPr>
              <w:t>8</w:t>
            </w:r>
            <w:r>
              <w:rPr>
                <w:rFonts w:hint="eastAsia" w:ascii="FangSong_GB2312" w:hAnsi="宋体"/>
                <w:kern w:val="0"/>
                <w:szCs w:val="21"/>
              </w:rPr>
              <w:t>次以上相互听课，每位专任教师每学年参加</w:t>
            </w:r>
            <w:r>
              <w:rPr>
                <w:rFonts w:ascii="FangSong_GB2312" w:hAnsi="宋体"/>
                <w:kern w:val="0"/>
                <w:szCs w:val="21"/>
              </w:rPr>
              <w:t>1</w:t>
            </w:r>
            <w:r>
              <w:rPr>
                <w:rFonts w:hint="eastAsia" w:ascii="FangSong_GB2312" w:hAnsi="宋体"/>
                <w:kern w:val="0"/>
                <w:szCs w:val="21"/>
              </w:rPr>
              <w:t>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专业建设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制定或落实专业建设规划，定期修订完善人才培养方案，达到国家各专业类教学质量标准；建设有省级以上优势特色专业，专业评估位列前</w:t>
            </w:r>
            <w:r>
              <w:rPr>
                <w:rFonts w:ascii="FangSong_GB2312" w:hAnsi="宋体"/>
                <w:kern w:val="0"/>
                <w:szCs w:val="21"/>
              </w:rPr>
              <w:t>50%</w:t>
            </w:r>
            <w:r>
              <w:rPr>
                <w:rFonts w:hint="eastAsia" w:ascii="FangSong_GB2312" w:hAnsi="宋体"/>
                <w:kern w:val="0"/>
                <w:szCs w:val="21"/>
              </w:rPr>
              <w:t>或通过专业认证；行业企业深度参与专业建设；课程类、实践类等基层教学组织充分发挥在专业评估、专业认证、专业建设中的重要作用。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实践教学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条件保障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设有专项经费，教师人均</w:t>
            </w:r>
            <w:r>
              <w:rPr>
                <w:kern w:val="0"/>
                <w:szCs w:val="21"/>
                <w:cs/>
              </w:rPr>
              <w:t>•</w:t>
            </w:r>
            <w:r>
              <w:rPr>
                <w:rFonts w:hint="eastAsia" w:ascii="FangSong_GB2312" w:hAnsi="宋体"/>
                <w:kern w:val="0"/>
                <w:szCs w:val="21"/>
              </w:rPr>
              <w:t>年度运行经费</w:t>
            </w:r>
            <w:r>
              <w:rPr>
                <w:rFonts w:ascii="FangSong_GB2312" w:hAnsi="宋体"/>
                <w:kern w:val="0"/>
                <w:szCs w:val="21"/>
              </w:rPr>
              <w:t>2000</w:t>
            </w:r>
            <w:r>
              <w:rPr>
                <w:rFonts w:hint="eastAsia" w:ascii="FangSong_GB2312" w:hAnsi="宋体"/>
                <w:kern w:val="0"/>
                <w:szCs w:val="21"/>
              </w:rPr>
              <w:t>元以上，有固定的办公场所、教学资料档案室和相关办公设施，人均教学办公面积在</w:t>
            </w:r>
            <w:r>
              <w:rPr>
                <w:rFonts w:ascii="FangSong_GB2312" w:hAnsi="宋体"/>
                <w:kern w:val="0"/>
                <w:szCs w:val="21"/>
              </w:rPr>
              <w:t>3</w:t>
            </w:r>
            <w:r>
              <w:rPr>
                <w:rFonts w:hint="eastAsia" w:ascii="FangSong_GB2312" w:hAnsi="宋体"/>
                <w:kern w:val="0"/>
                <w:szCs w:val="21"/>
              </w:rPr>
              <w:t>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人才培养能力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ascii="FangSong_GB2312" w:hAnsi="宋体"/>
                <w:kern w:val="0"/>
                <w:szCs w:val="21"/>
              </w:rPr>
              <w:t>10</w:t>
            </w:r>
            <w:r>
              <w:rPr>
                <w:rFonts w:hint="eastAsia" w:ascii="FangSong_GB2312" w:hAnsi="宋体"/>
                <w:kern w:val="0"/>
                <w:szCs w:val="21"/>
              </w:rPr>
              <w:t>分</w:t>
            </w:r>
          </w:p>
        </w:tc>
        <w:tc>
          <w:tcPr>
            <w:tcW w:w="7414" w:type="dxa"/>
            <w:vAlign w:val="center"/>
          </w:tcPr>
          <w:p>
            <w:pPr>
              <w:adjustRightInd w:val="0"/>
              <w:snapToGrid w:val="0"/>
              <w:rPr>
                <w:rFonts w:ascii="FangSong_GB2312" w:hAnsi="宋体"/>
                <w:kern w:val="0"/>
                <w:szCs w:val="21"/>
              </w:rPr>
            </w:pPr>
            <w:r>
              <w:rPr>
                <w:rFonts w:hint="eastAsia" w:ascii="FangSong_GB2312" w:hAnsi="宋体"/>
                <w:kern w:val="0"/>
                <w:szCs w:val="21"/>
              </w:rPr>
              <w:t>教师评教优秀，在省级以上教师讲课大赛成绩优异，指导学生在创新创业大赛、职业技能大赛、学科专业竞赛等赛项获得省级以上奖项或公开发表论文；毕业生就业质量高。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3C50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