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7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28"/>
          <w:szCs w:val="28"/>
        </w:rPr>
        <w:t>合格基层教学组织自查表</w:t>
      </w:r>
    </w:p>
    <w:tbl>
      <w:tblPr>
        <w:tblStyle w:val="3"/>
        <w:tblW w:w="48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67"/>
        <w:gridCol w:w="4881"/>
        <w:gridCol w:w="331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指标内涵</w:t>
            </w:r>
          </w:p>
        </w:tc>
        <w:tc>
          <w:tcPr>
            <w:tcW w:w="162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支撑材料</w:t>
            </w:r>
          </w:p>
        </w:tc>
        <w:tc>
          <w:tcPr>
            <w:tcW w:w="32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规章制度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具有较为完善的议事决策、教学组织与管理、教研活动、听课评议、青年教师培养、教学督导、教学质量评价等基本管理制度，发展目标和年度计划较为明确具体、可操作性强。</w:t>
            </w:r>
          </w:p>
        </w:tc>
        <w:tc>
          <w:tcPr>
            <w:tcW w:w="1626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1.</w:t>
            </w:r>
          </w:p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2.</w:t>
            </w:r>
          </w:p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3.</w:t>
            </w:r>
            <w:bookmarkStart w:id="0" w:name="_GoBack"/>
            <w:bookmarkEnd w:id="0"/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队伍建设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坚持立德树人，自觉遵守《高等学校教师职业道德规范》，师德师风良好，未发生有损教师职业声誉的行为；负责人具有高级职称，教学管理经验丰富，享有额外津贴或减免课时量；团队规模原则上</w:t>
            </w:r>
            <w:r>
              <w:rPr>
                <w:rFonts w:ascii="宋体" w:hAnsi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人以下，成员年龄、学历、职称、学缘结构合理；教师传帮带机制健全，新入职教师均经过</w:t>
            </w:r>
            <w:r>
              <w:rPr>
                <w:rFonts w:ascii="宋体" w:hAnsi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天以上系统培训并配有指导教师；高职院校专任教师“双师型”教师比例达到</w:t>
            </w:r>
            <w:r>
              <w:rPr>
                <w:rFonts w:ascii="宋体" w:hAnsi="宋体"/>
                <w:kern w:val="0"/>
                <w:sz w:val="18"/>
                <w:szCs w:val="18"/>
              </w:rPr>
              <w:t>50%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1626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年无重大教学事故；建立有教学评价和质量分析反馈机制；每学年教授为本、专科生上课率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100%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</w:t>
            </w:r>
          </w:p>
        </w:tc>
        <w:tc>
          <w:tcPr>
            <w:tcW w:w="1626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课程教材建设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课程体系符合专业发展，有规范的课程建设规划、教学大纲和课程标准，课程内容及时更新；严格执行学校教材选用制度；推进在线开放课程、微课的开发与应用，信息化教学资源丰富。</w:t>
            </w:r>
          </w:p>
        </w:tc>
        <w:tc>
          <w:tcPr>
            <w:tcW w:w="1626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教学研究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承担有校级及以上教改项目，参与教师占比达到</w:t>
            </w:r>
            <w:r>
              <w:rPr>
                <w:rFonts w:ascii="宋体" w:hAnsi="宋体"/>
                <w:kern w:val="0"/>
                <w:sz w:val="18"/>
                <w:szCs w:val="18"/>
              </w:rPr>
              <w:t>60%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；教师人均·学年发表教研论文达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篇；每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周开展</w:t>
            </w: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次集体教育教学研究活动；教师人均·学年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次以上相互听课；每位专任教师每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学年参加</w:t>
            </w: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次以上校外教学研讨会议。</w:t>
            </w:r>
          </w:p>
        </w:tc>
        <w:tc>
          <w:tcPr>
            <w:tcW w:w="1626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专业建设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制定或落实专业建设规划，定期修订完善人才培养方案，达到国家各专业类教学质量标准；行业企业多种形式参与专业建设；课程类、实践类等基层教学组织有效发挥在专业评估、专业认证、专业建设中的重要作用。</w:t>
            </w:r>
          </w:p>
        </w:tc>
        <w:tc>
          <w:tcPr>
            <w:tcW w:w="1626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实践教学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科学制定实践教学方案，规范设置实践教学环节，有效开展课内实践教学和校外实习实训，实验实训课程开课率及学生覆盖率符合规定；开展创新创业教育。</w:t>
            </w:r>
          </w:p>
        </w:tc>
        <w:tc>
          <w:tcPr>
            <w:tcW w:w="1626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条件保障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设有专项经费，教师人均</w:t>
            </w:r>
            <w:r>
              <w:rPr>
                <w:kern w:val="0"/>
                <w:sz w:val="18"/>
                <w:szCs w:val="18"/>
                <w:cs/>
              </w:rPr>
              <w:t>•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年度运行经费</w:t>
            </w:r>
            <w:r>
              <w:rPr>
                <w:rFonts w:ascii="宋体" w:hAnsi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元以上，有固定的办公场所、教学资料档案室和相关办公设施，人均教学办公面积在</w:t>
            </w: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平方米以上。</w:t>
            </w:r>
          </w:p>
        </w:tc>
        <w:tc>
          <w:tcPr>
            <w:tcW w:w="1626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3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人才培养能力</w:t>
            </w:r>
          </w:p>
        </w:tc>
        <w:tc>
          <w:tcPr>
            <w:tcW w:w="27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2395" w:type="pct"/>
            <w:vAlign w:val="center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教师评教良好，在校级以上教师讲课大赛成绩优异，指导学生在创新创业大赛、职业技能大赛、学科专业竞赛等赛项获得校级以上奖项或公开发表论文；毕业生就业率较高。</w:t>
            </w:r>
          </w:p>
        </w:tc>
        <w:tc>
          <w:tcPr>
            <w:tcW w:w="1626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67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322" w:type="pct"/>
          </w:tcPr>
          <w:p>
            <w:pPr>
              <w:adjustRightInd w:val="0"/>
              <w:snapToGrid w:val="0"/>
              <w:rPr>
                <w:rFonts w:ascii="宋体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rPr>
          <w:rFonts w:ascii="黑体" w:eastAsia="黑体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28"/>
          <w:szCs w:val="28"/>
        </w:rPr>
        <w:sectPr>
          <w:pgSz w:w="11906" w:h="16838"/>
          <w:pgMar w:top="851" w:right="851" w:bottom="851" w:left="851" w:header="720" w:footer="720" w:gutter="0"/>
          <w:cols w:space="720" w:num="1"/>
          <w:docGrid w:type="lines" w:linePitch="587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tabs>
        <w:tab w:val="center" w:pos="4153"/>
        <w:tab w:val="right" w:pos="8306"/>
      </w:tabs>
      <w:rPr>
        <w:rStyle w:val="5"/>
        <w:rFonts w:ascii="FangSong_GB2312" w:eastAsia="Times New Roman"/>
        <w:sz w:val="30"/>
        <w:szCs w:val="30"/>
      </w:rPr>
    </w:pPr>
    <w:r>
      <w:rPr>
        <w:rStyle w:val="5"/>
        <w:rFonts w:ascii="FangSong_GB2312" w:eastAsia="Times New Roman"/>
        <w:sz w:val="30"/>
        <w:szCs w:val="30"/>
      </w:rPr>
      <w:t xml:space="preserve">— </w:t>
    </w:r>
    <w:r>
      <w:rPr>
        <w:rStyle w:val="5"/>
        <w:rFonts w:ascii="FangSong_GB2312" w:eastAsia="Times New Roman"/>
        <w:sz w:val="30"/>
        <w:szCs w:val="30"/>
      </w:rPr>
      <w:fldChar w:fldCharType="begin"/>
    </w:r>
    <w:r>
      <w:rPr>
        <w:rStyle w:val="5"/>
        <w:rFonts w:ascii="FangSong_GB2312" w:eastAsia="Times New Roman"/>
        <w:sz w:val="30"/>
        <w:szCs w:val="30"/>
      </w:rPr>
      <w:instrText xml:space="preserve"> PAGE </w:instrText>
    </w:r>
    <w:r>
      <w:rPr>
        <w:rStyle w:val="5"/>
        <w:rFonts w:ascii="FangSong_GB2312" w:eastAsia="Times New Roman"/>
        <w:sz w:val="30"/>
        <w:szCs w:val="30"/>
      </w:rPr>
      <w:fldChar w:fldCharType="separate"/>
    </w:r>
    <w:r>
      <w:rPr>
        <w:rStyle w:val="5"/>
        <w:rFonts w:ascii="FangSong_GB2312" w:eastAsia="Times New Roman"/>
        <w:sz w:val="30"/>
        <w:szCs w:val="30"/>
      </w:rPr>
      <w:t>3</w:t>
    </w:r>
    <w:r>
      <w:rPr>
        <w:rStyle w:val="5"/>
        <w:rFonts w:ascii="FangSong_GB2312" w:eastAsia="Times New Roman"/>
        <w:sz w:val="30"/>
        <w:szCs w:val="30"/>
      </w:rPr>
      <w:fldChar w:fldCharType="end"/>
    </w:r>
    <w:r>
      <w:rPr>
        <w:rStyle w:val="5"/>
        <w:rFonts w:ascii="FangSong_GB2312" w:eastAsia="Times New Roman"/>
        <w:sz w:val="30"/>
        <w:szCs w:val="30"/>
      </w:rPr>
      <w:t xml:space="preserve"> —</w:t>
    </w:r>
  </w:p>
  <w:p>
    <w:pPr>
      <w:pStyle w:val="2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7C24"/>
    <w:rsid w:val="110B2B5B"/>
    <w:rsid w:val="21380744"/>
    <w:rsid w:val="3C507C24"/>
    <w:rsid w:val="5745693A"/>
    <w:rsid w:val="62E64131"/>
    <w:rsid w:val="63B9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font11"/>
    <w:uiPriority w:val="99"/>
    <w:rPr>
      <w:rFonts w:ascii="黑体" w:hAnsi="宋体" w:eastAsia="黑体"/>
      <w:color w:val="000000"/>
      <w:sz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2019-11-27T08:12:00Z</dcterms:created>
  <dc:creator>晓莉</dc:creator>
  <cp:lastModifiedBy>晓莉</cp:lastModifiedBy>
  <dcterms:modified xsi:type="dcterms:W3CDTF">2019-11-27T08:17:51Z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