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hint="eastAsia" w:ascii="黑体" w:hAnsi="黑体" w:eastAsia="黑体"/>
          <w:sz w:val="30"/>
          <w:szCs w:val="30"/>
        </w:rPr>
        <w:t>附件3</w:t>
      </w:r>
    </w:p>
    <w:p>
      <w:pPr>
        <w:ind w:left="-359" w:leftChars="-171" w:firstLine="284" w:firstLineChars="101"/>
        <w:jc w:val="center"/>
        <w:rPr>
          <w:rFonts w:ascii="Times New Roman" w:hAnsi="Times New Roman" w:eastAsia="隶书"/>
          <w:b/>
          <w:bCs/>
          <w:spacing w:val="-20"/>
          <w:sz w:val="32"/>
          <w:szCs w:val="24"/>
        </w:rPr>
      </w:pPr>
    </w:p>
    <w:p>
      <w:pPr>
        <w:ind w:left="-359" w:leftChars="-171" w:firstLine="284" w:firstLineChars="101"/>
        <w:jc w:val="center"/>
        <w:rPr>
          <w:rFonts w:ascii="Times New Roman" w:hAnsi="Times New Roman" w:eastAsia="隶书"/>
          <w:b/>
          <w:bCs/>
          <w:spacing w:val="-20"/>
          <w:sz w:val="32"/>
          <w:szCs w:val="24"/>
        </w:rPr>
      </w:pPr>
    </w:p>
    <w:p>
      <w:pPr>
        <w:snapToGrid w:val="0"/>
        <w:jc w:val="center"/>
        <w:rPr>
          <w:rFonts w:ascii="方正小标宋简体" w:hAnsi="黑体" w:eastAsia="方正小标宋简体"/>
          <w:bCs/>
          <w:spacing w:val="-20"/>
          <w:sz w:val="60"/>
          <w:szCs w:val="60"/>
        </w:rPr>
      </w:pPr>
      <w:r>
        <w:rPr>
          <w:rFonts w:hint="eastAsia" w:ascii="方正小标宋简体" w:hAnsi="黑体" w:eastAsia="方正小标宋简体"/>
          <w:bCs/>
          <w:spacing w:val="-20"/>
          <w:sz w:val="60"/>
          <w:szCs w:val="60"/>
        </w:rPr>
        <w:t>河南省一流本科专业建设点</w:t>
      </w:r>
    </w:p>
    <w:p>
      <w:pPr>
        <w:snapToGrid w:val="0"/>
        <w:jc w:val="center"/>
        <w:rPr>
          <w:rFonts w:ascii="方正小标宋简体" w:hAnsi="黑体" w:eastAsia="方正小标宋简体"/>
          <w:bCs/>
          <w:sz w:val="60"/>
          <w:szCs w:val="60"/>
        </w:rPr>
      </w:pPr>
      <w:r>
        <w:rPr>
          <w:rFonts w:hint="eastAsia" w:ascii="方正小标宋简体" w:hAnsi="黑体" w:eastAsia="方正小标宋简体"/>
          <w:bCs/>
          <w:sz w:val="60"/>
          <w:szCs w:val="60"/>
        </w:rPr>
        <w:t>信息采集表</w:t>
      </w:r>
    </w:p>
    <w:p>
      <w:pPr>
        <w:rPr>
          <w:rFonts w:ascii="Times New Roman" w:hAnsi="Times New Roman"/>
          <w:sz w:val="32"/>
          <w:szCs w:val="32"/>
        </w:rPr>
      </w:pPr>
    </w:p>
    <w:p>
      <w:pPr>
        <w:rPr>
          <w:rFonts w:ascii="Times New Roman" w:hAnsi="Times New Roman"/>
          <w:sz w:val="32"/>
          <w:szCs w:val="32"/>
        </w:rPr>
      </w:pPr>
    </w:p>
    <w:p>
      <w:pPr>
        <w:ind w:firstLine="1440" w:firstLineChars="400"/>
        <w:rPr>
          <w:rFonts w:ascii="Times New Roman" w:hAnsi="Times New Roman"/>
          <w:szCs w:val="24"/>
          <w:u w:val="single"/>
        </w:rPr>
      </w:pPr>
      <w:r>
        <w:rPr>
          <w:rFonts w:ascii="Times New Roman" w:hAnsi="Arial" w:eastAsia="楷体_GB2312"/>
          <w:sz w:val="36"/>
          <w:szCs w:val="24"/>
        </w:rPr>
        <w:pict>
          <v:shape id="_x0000_s1027" o:spid="_x0000_s1027" o:spt="32" type="#_x0000_t32" style="position:absolute;left:0pt;flip:y;margin-left:163.85pt;margin-top:28.6pt;height:1.25pt;width:181.55pt;z-index:251655168;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高校名称：</w:t>
      </w:r>
    </w:p>
    <w:p>
      <w:pPr>
        <w:spacing w:line="720" w:lineRule="exact"/>
        <w:ind w:firstLine="1440" w:firstLineChars="400"/>
        <w:rPr>
          <w:rFonts w:ascii="Times New Roman" w:hAnsi="Times New Roman" w:eastAsia="楷体_GB2312"/>
          <w:sz w:val="36"/>
          <w:szCs w:val="24"/>
          <w:u w:val="single"/>
        </w:rPr>
      </w:pPr>
      <w:r>
        <w:rPr>
          <w:rFonts w:ascii="Times New Roman" w:hAnsi="Arial" w:eastAsia="楷体_GB2312"/>
          <w:sz w:val="36"/>
          <w:szCs w:val="24"/>
        </w:rPr>
        <w:pict>
          <v:shape id="_x0000_s1028" o:spid="_x0000_s1028" o:spt="32" type="#_x0000_t32" style="position:absolute;left:0pt;flip:y;margin-left:163.85pt;margin-top:35.55pt;height:1.25pt;width:181.55pt;z-index:251656192;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主管部门：</w:t>
      </w:r>
    </w:p>
    <w:p>
      <w:pPr>
        <w:spacing w:line="720" w:lineRule="exact"/>
        <w:ind w:firstLine="1440" w:firstLineChars="400"/>
        <w:rPr>
          <w:rFonts w:ascii="Times New Roman" w:hAnsi="Times New Roman" w:eastAsia="楷体_GB2312"/>
          <w:sz w:val="36"/>
          <w:szCs w:val="24"/>
          <w:u w:val="single"/>
        </w:rPr>
      </w:pPr>
      <w:r>
        <w:rPr>
          <w:rFonts w:ascii="Times New Roman" w:hAnsi="Arial" w:eastAsia="楷体_GB2312"/>
          <w:sz w:val="36"/>
          <w:szCs w:val="24"/>
        </w:rPr>
        <w:pict>
          <v:shape id="_x0000_s1029" o:spid="_x0000_s1029" o:spt="32" type="#_x0000_t32" style="position:absolute;left:0pt;flip:y;margin-left:163.85pt;margin-top:35.25pt;height:1.25pt;width:181.55pt;z-index:251657216;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专业名称：</w:t>
      </w:r>
    </w:p>
    <w:p>
      <w:pPr>
        <w:spacing w:line="720" w:lineRule="exact"/>
        <w:ind w:firstLine="1440" w:firstLineChars="400"/>
        <w:rPr>
          <w:rFonts w:ascii="Times New Roman" w:hAnsi="Times New Roman" w:eastAsia="楷体_GB2312"/>
          <w:sz w:val="36"/>
          <w:szCs w:val="24"/>
          <w:u w:val="single"/>
        </w:rPr>
      </w:pPr>
      <w:r>
        <w:rPr>
          <w:rFonts w:ascii="Times New Roman" w:hAnsi="Arial" w:eastAsia="楷体_GB2312"/>
          <w:sz w:val="36"/>
          <w:szCs w:val="24"/>
        </w:rPr>
        <w:pict>
          <v:shape id="_x0000_s1030" o:spid="_x0000_s1030" o:spt="32" type="#_x0000_t32" style="position:absolute;left:0pt;flip:y;margin-left:163.85pt;margin-top:34.9pt;height:1.25pt;width:181.55pt;z-index:251658240;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专业代码：</w:t>
      </w:r>
    </w:p>
    <w:p>
      <w:pPr>
        <w:spacing w:line="720" w:lineRule="exact"/>
        <w:ind w:firstLine="1439" w:firstLineChars="371"/>
        <w:rPr>
          <w:rFonts w:ascii="Times New Roman" w:hAnsi="Times New Roman" w:eastAsia="楷体_GB2312"/>
          <w:spacing w:val="14"/>
          <w:sz w:val="36"/>
          <w:szCs w:val="24"/>
          <w:u w:val="single"/>
        </w:rPr>
      </w:pPr>
      <w:r>
        <w:rPr>
          <w:rFonts w:ascii="Times New Roman" w:hAnsi="Arial" w:eastAsia="楷体_GB2312"/>
          <w:spacing w:val="14"/>
          <w:sz w:val="36"/>
          <w:szCs w:val="24"/>
        </w:rPr>
        <w:pict>
          <v:shape id="_x0000_s1031" o:spid="_x0000_s1031" o:spt="32" type="#_x0000_t32" style="position:absolute;left:0pt;flip:y;margin-left:163.85pt;margin-top:34pt;height:1.25pt;width:181.55pt;z-index:251658240;mso-width-relative:page;mso-height-relative:page;" filled="t" o:preferrelative="t" coordsize="21600,21600">
            <v:path arrowok="t"/>
            <v:fill on="t" focussize="0,0"/>
            <v:stroke/>
            <v:imagedata o:title=""/>
            <o:lock v:ext="edit"/>
          </v:shape>
        </w:pict>
      </w:r>
      <w:r>
        <w:rPr>
          <w:rFonts w:ascii="Times New Roman" w:hAnsi="Arial" w:eastAsia="楷体_GB2312"/>
          <w:spacing w:val="14"/>
          <w:sz w:val="36"/>
          <w:szCs w:val="24"/>
        </w:rPr>
        <w:t>专业类：</w:t>
      </w:r>
    </w:p>
    <w:p>
      <w:pPr>
        <w:spacing w:line="720" w:lineRule="exact"/>
        <w:ind w:firstLine="1552" w:firstLineChars="400"/>
        <w:rPr>
          <w:rFonts w:ascii="Times New Roman" w:hAnsi="Times New Roman" w:eastAsia="楷体_GB2312"/>
          <w:sz w:val="36"/>
          <w:szCs w:val="24"/>
          <w:u w:val="single"/>
        </w:rPr>
      </w:pPr>
      <w:r>
        <w:rPr>
          <w:rFonts w:ascii="Times New Roman" w:hAnsi="Arial" w:eastAsia="楷体_GB2312"/>
          <w:spacing w:val="14"/>
          <w:sz w:val="36"/>
          <w:szCs w:val="24"/>
        </w:rPr>
        <w:pict>
          <v:shape id="_x0000_s1032" o:spid="_x0000_s1032" o:spt="32" type="#_x0000_t32" style="position:absolute;left:0pt;flip:y;margin-left:179.6pt;margin-top:34.9pt;height:1.25pt;width:165.8pt;z-index:251659264;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专业负责人：</w:t>
      </w:r>
    </w:p>
    <w:p>
      <w:pPr>
        <w:spacing w:line="720" w:lineRule="exact"/>
        <w:ind w:firstLine="1440" w:firstLineChars="400"/>
        <w:rPr>
          <w:rFonts w:ascii="Times New Roman" w:hAnsi="Times New Roman" w:eastAsia="楷体_GB2312"/>
          <w:sz w:val="36"/>
          <w:szCs w:val="24"/>
          <w:u w:val="single"/>
        </w:rPr>
      </w:pPr>
      <w:r>
        <w:rPr>
          <w:rFonts w:ascii="Times New Roman" w:hAnsi="Arial" w:eastAsia="楷体_GB2312"/>
          <w:sz w:val="36"/>
          <w:szCs w:val="24"/>
        </w:rPr>
        <w:pict>
          <v:shape id="_x0000_s1033" o:spid="_x0000_s1033" o:spt="32" type="#_x0000_t32" style="position:absolute;left:0pt;flip:y;margin-left:163.85pt;margin-top:32.75pt;height:1.25pt;width:181.55pt;z-index:251660288;mso-width-relative:page;mso-height-relative:page;" filled="t" o:preferrelative="t" coordsize="21600,21600">
            <v:path arrowok="t"/>
            <v:fill on="t" focussize="0,0"/>
            <v:stroke/>
            <v:imagedata o:title=""/>
            <o:lock v:ext="edit"/>
          </v:shape>
        </w:pict>
      </w:r>
      <w:r>
        <w:rPr>
          <w:rFonts w:ascii="Times New Roman" w:hAnsi="Arial" w:eastAsia="楷体_GB2312"/>
          <w:sz w:val="36"/>
          <w:szCs w:val="24"/>
        </w:rPr>
        <w:t>联系电话：</w:t>
      </w:r>
    </w:p>
    <w:p>
      <w:pPr>
        <w:spacing w:line="720" w:lineRule="exact"/>
        <w:ind w:firstLine="1760" w:firstLineChars="400"/>
        <w:rPr>
          <w:rFonts w:ascii="Arial" w:hAnsi="Arial" w:eastAsia="楷体_GB2312"/>
          <w:sz w:val="44"/>
          <w:szCs w:val="24"/>
        </w:rPr>
      </w:pPr>
    </w:p>
    <w:p>
      <w:pPr>
        <w:rPr>
          <w:rFonts w:ascii="Times New Roman" w:hAnsi="Times New Roman"/>
          <w:szCs w:val="24"/>
        </w:rPr>
      </w:pPr>
    </w:p>
    <w:p>
      <w:pPr>
        <w:jc w:val="center"/>
        <w:rPr>
          <w:rFonts w:ascii="Arial" w:hAnsi="Arial" w:eastAsia="楷体_GB2312"/>
          <w:sz w:val="36"/>
          <w:szCs w:val="24"/>
        </w:rPr>
      </w:pPr>
      <w:r>
        <w:rPr>
          <w:rFonts w:hint="eastAsia" w:ascii="Arial" w:hAnsi="Arial" w:eastAsia="楷体_GB2312"/>
          <w:sz w:val="36"/>
          <w:szCs w:val="24"/>
        </w:rPr>
        <w:t>河南省教育厅制</w:t>
      </w:r>
    </w:p>
    <w:p>
      <w:pPr>
        <w:spacing w:line="560" w:lineRule="atLeast"/>
        <w:rPr>
          <w:rFonts w:ascii="仿宋_GB2312"/>
        </w:rPr>
      </w:pPr>
      <w:r>
        <w:rPr>
          <w:rFonts w:ascii="Arial" w:hAnsi="Arial" w:eastAsia="楷体_GB2312"/>
          <w:sz w:val="36"/>
          <w:szCs w:val="24"/>
        </w:rPr>
        <w:br w:type="page"/>
      </w:r>
    </w:p>
    <w:p>
      <w:pPr>
        <w:snapToGrid w:val="0"/>
        <w:jc w:val="center"/>
        <w:rPr>
          <w:rFonts w:ascii="方正小标宋简体" w:hAnsi="Arial" w:eastAsia="方正小标宋简体"/>
          <w:bCs/>
          <w:sz w:val="44"/>
          <w:szCs w:val="44"/>
        </w:rPr>
      </w:pPr>
      <w:r>
        <w:rPr>
          <w:rFonts w:hint="eastAsia" w:ascii="方正小标宋简体" w:hAnsi="Arial" w:eastAsia="方正小标宋简体"/>
          <w:bCs/>
          <w:sz w:val="44"/>
          <w:szCs w:val="44"/>
        </w:rPr>
        <w:t>填表说明</w:t>
      </w:r>
    </w:p>
    <w:p>
      <w:pPr>
        <w:ind w:firstLine="820" w:firstLineChars="200"/>
        <w:rPr>
          <w:rFonts w:ascii="仿宋_GB2312" w:hAnsi="Arial"/>
          <w:spacing w:val="100"/>
        </w:rPr>
      </w:pP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1.采集表填写内容必须实事求</w:t>
      </w:r>
      <w:r>
        <w:rPr>
          <w:rFonts w:hint="eastAsia" w:ascii="仿宋_GB2312" w:hAnsi="仿宋" w:eastAsia="仿宋_GB2312"/>
          <w:sz w:val="30"/>
          <w:szCs w:val="30"/>
          <w:lang w:val="en-US" w:eastAsia="zh-CN"/>
        </w:rPr>
        <w:t>是</w:t>
      </w:r>
      <w:bookmarkStart w:id="1" w:name="_GoBack"/>
      <w:bookmarkEnd w:id="1"/>
      <w:r>
        <w:rPr>
          <w:rFonts w:hint="eastAsia" w:ascii="仿宋_GB2312" w:hAnsi="仿宋" w:eastAsia="仿宋_GB2312"/>
          <w:sz w:val="30"/>
          <w:szCs w:val="30"/>
        </w:rPr>
        <w:t>，表达准确严谨。填报内容不得有空缺项，如无内容应填“无”。</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专业特色优势、深化专业综合改革的主要举措和成效、加强师资队伍和基层教学组织建设的主要举措和成效、加强专业教学质量保障体系建设的主要举措和成效等各项内容要紧扣国家和河南省建设高水平本科教育的精神和要求，立足本校本专业实际，举措和成效的内容要具体、明确且具有可操作性。</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3.专业人才培养方案作为附件。</w:t>
      </w:r>
    </w:p>
    <w:p>
      <w:pPr>
        <w:rPr>
          <w:rFonts w:ascii="仿宋_GB2312" w:hAnsi="仿宋"/>
        </w:rPr>
        <w:sectPr>
          <w:footerReference r:id="rId3" w:type="default"/>
          <w:pgSz w:w="11906" w:h="16838"/>
          <w:pgMar w:top="1928" w:right="1588" w:bottom="1985" w:left="1644" w:header="0" w:footer="1588" w:gutter="0"/>
          <w:cols w:space="720" w:num="1"/>
          <w:docGrid w:linePitch="587" w:charSpace="2004"/>
        </w:sectPr>
      </w:pPr>
    </w:p>
    <w:p>
      <w:pPr>
        <w:snapToGrid w:val="0"/>
        <w:jc w:val="center"/>
        <w:rPr>
          <w:rFonts w:ascii="方正小标宋简体" w:hAnsi="Arial" w:eastAsia="方正小标宋简体"/>
          <w:bCs/>
          <w:sz w:val="44"/>
          <w:szCs w:val="44"/>
        </w:rPr>
      </w:pPr>
      <w:r>
        <w:rPr>
          <w:rFonts w:hint="eastAsia" w:ascii="方正小标宋简体" w:hAnsi="Arial" w:eastAsia="方正小标宋简体"/>
          <w:bCs/>
          <w:sz w:val="44"/>
          <w:szCs w:val="44"/>
        </w:rPr>
        <w:t>目         录</w:t>
      </w:r>
    </w:p>
    <w:p>
      <w:pPr>
        <w:ind w:firstLine="420" w:firstLineChars="200"/>
        <w:rPr>
          <w:rFonts w:ascii="仿宋_GB2312" w:hAnsi="仿宋"/>
        </w:rPr>
      </w:pPr>
    </w:p>
    <w:p>
      <w:pPr>
        <w:spacing w:line="360" w:lineRule="auto"/>
        <w:ind w:firstLine="600" w:firstLineChars="200"/>
        <w:rPr>
          <w:rFonts w:ascii="黑体" w:hAnsi="仿宋" w:eastAsia="黑体"/>
          <w:sz w:val="30"/>
          <w:szCs w:val="30"/>
        </w:rPr>
      </w:pPr>
      <w:r>
        <w:rPr>
          <w:rFonts w:ascii="黑体" w:hAnsi="仿宋" w:eastAsia="黑体"/>
          <w:sz w:val="30"/>
          <w:szCs w:val="30"/>
        </w:rPr>
        <w:t>一</w:t>
      </w:r>
      <w:r>
        <w:rPr>
          <w:rFonts w:hint="eastAsia" w:ascii="黑体" w:hAnsi="仿宋" w:eastAsia="黑体"/>
          <w:sz w:val="30"/>
          <w:szCs w:val="30"/>
        </w:rPr>
        <w:t>、所在</w:t>
      </w:r>
      <w:r>
        <w:rPr>
          <w:rFonts w:ascii="黑体" w:hAnsi="仿宋" w:eastAsia="黑体"/>
          <w:sz w:val="30"/>
          <w:szCs w:val="30"/>
        </w:rPr>
        <w:t>高校基本情况</w:t>
      </w:r>
    </w:p>
    <w:p>
      <w:pPr>
        <w:spacing w:line="360" w:lineRule="auto"/>
        <w:ind w:firstLine="600" w:firstLineChars="200"/>
        <w:rPr>
          <w:rFonts w:ascii="黑体" w:hAnsi="仿宋" w:eastAsia="黑体"/>
          <w:sz w:val="30"/>
          <w:szCs w:val="30"/>
        </w:rPr>
      </w:pPr>
      <w:r>
        <w:rPr>
          <w:rFonts w:ascii="黑体" w:hAnsi="仿宋" w:eastAsia="黑体"/>
          <w:sz w:val="30"/>
          <w:szCs w:val="30"/>
        </w:rPr>
        <w:t>二</w:t>
      </w:r>
      <w:r>
        <w:rPr>
          <w:rFonts w:hint="eastAsia" w:ascii="黑体" w:hAnsi="仿宋" w:eastAsia="黑体"/>
          <w:sz w:val="30"/>
          <w:szCs w:val="30"/>
        </w:rPr>
        <w:t>、</w:t>
      </w:r>
      <w:r>
        <w:rPr>
          <w:rFonts w:ascii="黑体" w:hAnsi="仿宋" w:eastAsia="黑体"/>
          <w:sz w:val="30"/>
          <w:szCs w:val="30"/>
        </w:rPr>
        <w:t>报送专业情况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1.专业基本情况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2.专业负责人基本情况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3.近5年本专业毕业生就业（升学）情况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4.近5年本专业获省部级及以上奖励和支持情况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5.专业定位、历史沿革和特色优势</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6.深化专业综合改革的主要措施和成效</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7.加强师资队伍和基层教学组织建设的主要举措及成效</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8.加强专业教学质量保障体系建设的主要举措和成效</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9.毕业生培养质量的跟踪调查结果和外部评价</w:t>
      </w:r>
    </w:p>
    <w:p>
      <w:pPr>
        <w:spacing w:line="360" w:lineRule="auto"/>
        <w:ind w:firstLine="600" w:firstLineChars="200"/>
        <w:rPr>
          <w:rFonts w:ascii="黑体" w:hAnsi="仿宋" w:eastAsia="黑体"/>
          <w:sz w:val="30"/>
          <w:szCs w:val="30"/>
        </w:rPr>
      </w:pPr>
      <w:r>
        <w:rPr>
          <w:rFonts w:hint="eastAsia" w:ascii="黑体" w:hAnsi="仿宋" w:eastAsia="黑体"/>
          <w:sz w:val="30"/>
          <w:szCs w:val="30"/>
        </w:rPr>
        <w:t>三、下一步推进专业建设和改革的主要思路及举措</w:t>
      </w:r>
    </w:p>
    <w:p>
      <w:pPr>
        <w:spacing w:line="360" w:lineRule="auto"/>
        <w:ind w:firstLine="600" w:firstLineChars="200"/>
        <w:rPr>
          <w:rFonts w:ascii="仿宋_GB2312" w:hAnsi="仿宋"/>
          <w:sz w:val="30"/>
          <w:szCs w:val="30"/>
        </w:rPr>
      </w:pPr>
    </w:p>
    <w:p>
      <w:pPr>
        <w:spacing w:line="360" w:lineRule="auto"/>
        <w:ind w:firstLine="420" w:firstLineChars="200"/>
        <w:rPr>
          <w:rFonts w:ascii="仿宋_GB2312" w:hAnsi="仿宋"/>
        </w:rPr>
      </w:pPr>
    </w:p>
    <w:p>
      <w:pPr>
        <w:ind w:firstLine="420" w:firstLineChars="200"/>
        <w:rPr>
          <w:rFonts w:ascii="黑体" w:hAnsi="仿宋" w:eastAsia="黑体"/>
        </w:rPr>
        <w:sectPr>
          <w:pgSz w:w="11906" w:h="16838"/>
          <w:pgMar w:top="1928" w:right="1588" w:bottom="1985" w:left="1644" w:header="0" w:footer="1588" w:gutter="0"/>
          <w:cols w:space="720" w:num="1"/>
          <w:docGrid w:linePitch="587" w:charSpace="2004"/>
        </w:sectPr>
      </w:pPr>
    </w:p>
    <w:p>
      <w:pPr>
        <w:ind w:firstLine="600" w:firstLineChars="200"/>
        <w:rPr>
          <w:rFonts w:ascii="黑体" w:hAnsi="仿宋" w:eastAsia="黑体"/>
          <w:sz w:val="30"/>
          <w:szCs w:val="30"/>
        </w:rPr>
      </w:pPr>
      <w:r>
        <w:rPr>
          <w:rFonts w:hint="eastAsia" w:ascii="黑体" w:hAnsi="仿宋" w:eastAsia="黑体"/>
          <w:sz w:val="30"/>
          <w:szCs w:val="30"/>
        </w:rPr>
        <w:t>一、所在高校基本情况</w:t>
      </w:r>
    </w:p>
    <w:tbl>
      <w:tblPr>
        <w:tblStyle w:val="6"/>
        <w:tblW w:w="89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829"/>
        <w:gridCol w:w="302"/>
        <w:gridCol w:w="1824"/>
        <w:gridCol w:w="2126"/>
        <w:gridCol w:w="567"/>
        <w:gridCol w:w="1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0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学校名称</w:t>
            </w:r>
          </w:p>
        </w:tc>
        <w:tc>
          <w:tcPr>
            <w:tcW w:w="2955" w:type="dxa"/>
            <w:gridSpan w:val="3"/>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河南农业大学</w:t>
            </w:r>
          </w:p>
        </w:tc>
        <w:tc>
          <w:tcPr>
            <w:tcW w:w="2126"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学校代码</w:t>
            </w:r>
          </w:p>
        </w:tc>
        <w:tc>
          <w:tcPr>
            <w:tcW w:w="1886" w:type="dxa"/>
            <w:gridSpan w:val="3"/>
            <w:vAlign w:val="center"/>
          </w:tcPr>
          <w:p>
            <w:pPr>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07" w:type="dxa"/>
          </w:tcPr>
          <w:p>
            <w:pPr>
              <w:snapToGrid w:val="0"/>
              <w:ind w:left="-105" w:leftChars="-50" w:right="-105" w:rightChars="-50"/>
              <w:jc w:val="center"/>
              <w:rPr>
                <w:rFonts w:ascii="仿宋_GB2312" w:hAnsi="Times New Roman" w:eastAsia="仿宋_GB2312"/>
                <w:sz w:val="24"/>
                <w:szCs w:val="24"/>
              </w:rPr>
            </w:pPr>
            <w:r>
              <w:rPr>
                <w:rFonts w:hint="eastAsia" w:ascii="仿宋_GB2312" w:hAnsi="Times New Roman" w:eastAsia="仿宋_GB2312"/>
                <w:sz w:val="24"/>
                <w:szCs w:val="24"/>
              </w:rPr>
              <w:t>学校办学</w:t>
            </w:r>
          </w:p>
          <w:p>
            <w:pPr>
              <w:snapToGrid w:val="0"/>
              <w:ind w:left="-105" w:leftChars="-50" w:right="-105" w:rightChars="-50"/>
              <w:jc w:val="center"/>
              <w:rPr>
                <w:rFonts w:ascii="仿宋_GB2312" w:hAnsi="Times New Roman" w:eastAsia="仿宋_GB2312"/>
                <w:sz w:val="24"/>
                <w:szCs w:val="24"/>
              </w:rPr>
            </w:pPr>
            <w:r>
              <w:rPr>
                <w:rFonts w:hint="eastAsia" w:ascii="仿宋_GB2312" w:hAnsi="Times New Roman" w:eastAsia="仿宋_GB2312"/>
                <w:sz w:val="24"/>
                <w:szCs w:val="24"/>
              </w:rPr>
              <w:t>基本类型</w:t>
            </w:r>
          </w:p>
        </w:tc>
        <w:tc>
          <w:tcPr>
            <w:tcW w:w="6967" w:type="dxa"/>
            <w:gridSpan w:val="7"/>
            <w:vAlign w:val="center"/>
          </w:tcPr>
          <w:p>
            <w:pPr>
              <w:snapToGrid w:val="0"/>
              <w:ind w:firstLine="480" w:firstLineChars="200"/>
              <w:rPr>
                <w:rFonts w:ascii="仿宋_GB2312" w:hAnsi="Times New Roman" w:eastAsia="仿宋_GB2312"/>
                <w:sz w:val="24"/>
                <w:szCs w:val="24"/>
              </w:rPr>
            </w:pPr>
            <w:r>
              <w:rPr>
                <w:rFonts w:hint="eastAsia" w:ascii="仿宋_GB2312" w:hAnsi="Times New Roman" w:eastAsia="仿宋_GB2312"/>
                <w:sz w:val="24"/>
                <w:szCs w:val="24"/>
              </w:rPr>
              <w:t>□公办</w:t>
            </w:r>
            <w:r>
              <w:rPr>
                <w:rFonts w:hint="eastAsia" w:ascii="仿宋_GB2312" w:hAnsi="宋体" w:eastAsia="仿宋_GB2312"/>
                <w:sz w:val="24"/>
                <w:szCs w:val="24"/>
              </w:rPr>
              <w:t>√</w:t>
            </w:r>
            <w:r>
              <w:rPr>
                <w:rFonts w:hint="eastAsia" w:ascii="仿宋_GB2312" w:hAnsi="Times New Roman" w:eastAsia="仿宋_GB2312"/>
                <w:sz w:val="24"/>
                <w:szCs w:val="24"/>
              </w:rPr>
              <w:t xml:space="preserve">  □民办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0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在校本科生总数</w:t>
            </w:r>
          </w:p>
        </w:tc>
        <w:tc>
          <w:tcPr>
            <w:tcW w:w="1131" w:type="dxa"/>
            <w:gridSpan w:val="2"/>
            <w:vAlign w:val="center"/>
          </w:tcPr>
          <w:p>
            <w:pPr>
              <w:snapToGrid w:val="0"/>
              <w:jc w:val="right"/>
              <w:rPr>
                <w:rFonts w:ascii="仿宋_GB2312" w:hAnsi="Times New Roman" w:eastAsia="仿宋_GB2312"/>
                <w:sz w:val="24"/>
                <w:szCs w:val="24"/>
              </w:rPr>
            </w:pPr>
          </w:p>
        </w:tc>
        <w:tc>
          <w:tcPr>
            <w:tcW w:w="4675" w:type="dxa"/>
            <w:gridSpan w:val="4"/>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近5年年均本科招生数</w:t>
            </w:r>
          </w:p>
        </w:tc>
        <w:tc>
          <w:tcPr>
            <w:tcW w:w="1161" w:type="dxa"/>
            <w:vAlign w:val="center"/>
          </w:tcPr>
          <w:p>
            <w:pPr>
              <w:snapToGrid w:val="0"/>
              <w:jc w:val="righ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07" w:type="dxa"/>
            <w:vAlign w:val="center"/>
          </w:tcPr>
          <w:p>
            <w:pPr>
              <w:snapToGrid w:val="0"/>
              <w:ind w:left="-105" w:leftChars="-50" w:right="-105" w:rightChars="-50"/>
              <w:jc w:val="center"/>
              <w:rPr>
                <w:rFonts w:ascii="仿宋_GB2312" w:hAnsi="Times New Roman" w:eastAsia="仿宋_GB2312"/>
                <w:sz w:val="24"/>
                <w:szCs w:val="24"/>
              </w:rPr>
            </w:pPr>
            <w:r>
              <w:rPr>
                <w:rFonts w:hint="eastAsia" w:ascii="仿宋_GB2312" w:hAnsi="Times New Roman" w:eastAsia="仿宋_GB2312"/>
                <w:sz w:val="24"/>
                <w:szCs w:val="24"/>
              </w:rPr>
              <w:t>专任教师总数</w:t>
            </w:r>
          </w:p>
        </w:tc>
        <w:tc>
          <w:tcPr>
            <w:tcW w:w="1131" w:type="dxa"/>
            <w:gridSpan w:val="2"/>
            <w:vAlign w:val="center"/>
          </w:tcPr>
          <w:p>
            <w:pPr>
              <w:snapToGrid w:val="0"/>
              <w:jc w:val="right"/>
              <w:rPr>
                <w:rFonts w:ascii="仿宋_GB2312" w:hAnsi="Times New Roman" w:eastAsia="仿宋_GB2312"/>
                <w:sz w:val="24"/>
                <w:szCs w:val="24"/>
              </w:rPr>
            </w:pPr>
          </w:p>
        </w:tc>
        <w:tc>
          <w:tcPr>
            <w:tcW w:w="4675" w:type="dxa"/>
            <w:gridSpan w:val="4"/>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专任教师中副教授及以上职称比例</w:t>
            </w:r>
          </w:p>
        </w:tc>
        <w:tc>
          <w:tcPr>
            <w:tcW w:w="1161" w:type="dxa"/>
            <w:vAlign w:val="center"/>
          </w:tcPr>
          <w:p>
            <w:pPr>
              <w:snapToGrid w:val="0"/>
              <w:jc w:val="righ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07" w:type="dxa"/>
            <w:vAlign w:val="center"/>
          </w:tcPr>
          <w:p>
            <w:pPr>
              <w:snapToGrid w:val="0"/>
              <w:ind w:left="-105" w:leftChars="-50" w:right="-105" w:rightChars="-50"/>
              <w:jc w:val="center"/>
              <w:rPr>
                <w:rFonts w:ascii="仿宋_GB2312" w:hAnsi="Times New Roman" w:eastAsia="仿宋_GB2312"/>
                <w:sz w:val="24"/>
                <w:szCs w:val="24"/>
              </w:rPr>
            </w:pPr>
            <w:r>
              <w:rPr>
                <w:rFonts w:hint="eastAsia" w:ascii="仿宋_GB2312" w:hAnsi="Times New Roman" w:eastAsia="仿宋_GB2312"/>
                <w:sz w:val="24"/>
                <w:szCs w:val="24"/>
              </w:rPr>
              <w:t>生师比</w:t>
            </w:r>
          </w:p>
        </w:tc>
        <w:tc>
          <w:tcPr>
            <w:tcW w:w="1131" w:type="dxa"/>
            <w:gridSpan w:val="2"/>
            <w:vAlign w:val="center"/>
          </w:tcPr>
          <w:p>
            <w:pPr>
              <w:snapToGrid w:val="0"/>
              <w:jc w:val="center"/>
              <w:rPr>
                <w:rFonts w:ascii="仿宋_GB2312" w:hAnsi="Times New Roman" w:eastAsia="仿宋_GB2312"/>
                <w:sz w:val="24"/>
                <w:szCs w:val="24"/>
              </w:rPr>
            </w:pPr>
          </w:p>
        </w:tc>
        <w:tc>
          <w:tcPr>
            <w:tcW w:w="4675" w:type="dxa"/>
            <w:gridSpan w:val="4"/>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具有硕博士学位教师占专任教师比例</w:t>
            </w:r>
          </w:p>
        </w:tc>
        <w:tc>
          <w:tcPr>
            <w:tcW w:w="1161" w:type="dxa"/>
            <w:vAlign w:val="center"/>
          </w:tcPr>
          <w:p>
            <w:pPr>
              <w:snapToGrid w:val="0"/>
              <w:jc w:val="righ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200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推进高水平本科建设整体情况</w:t>
            </w:r>
          </w:p>
        </w:tc>
        <w:tc>
          <w:tcPr>
            <w:tcW w:w="6967" w:type="dxa"/>
            <w:gridSpan w:val="7"/>
          </w:tcPr>
          <w:p>
            <w:pPr>
              <w:snapToGrid w:val="0"/>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007"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学校关于本科</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人才培养的重要</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政策文件</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（限10项）</w:t>
            </w:r>
          </w:p>
        </w:tc>
        <w:tc>
          <w:tcPr>
            <w:tcW w:w="829"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序号</w:t>
            </w:r>
          </w:p>
        </w:tc>
        <w:tc>
          <w:tcPr>
            <w:tcW w:w="4819" w:type="dxa"/>
            <w:gridSpan w:val="4"/>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文件名称</w:t>
            </w:r>
          </w:p>
        </w:tc>
        <w:tc>
          <w:tcPr>
            <w:tcW w:w="1319" w:type="dxa"/>
            <w:gridSpan w:val="2"/>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hAnsi="Times New Roman"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07" w:type="dxa"/>
            <w:vMerge w:val="continue"/>
            <w:vAlign w:val="center"/>
          </w:tcPr>
          <w:p>
            <w:pPr>
              <w:snapToGrid w:val="0"/>
              <w:jc w:val="center"/>
              <w:rPr>
                <w:rFonts w:ascii="仿宋_GB2312" w:hAnsi="Times New Roman" w:eastAsia="仿宋_GB2312"/>
                <w:sz w:val="24"/>
                <w:szCs w:val="24"/>
              </w:rPr>
            </w:pPr>
          </w:p>
        </w:tc>
        <w:tc>
          <w:tcPr>
            <w:tcW w:w="829" w:type="dxa"/>
            <w:vAlign w:val="center"/>
          </w:tcPr>
          <w:p>
            <w:pPr>
              <w:snapToGrid w:val="0"/>
              <w:jc w:val="center"/>
              <w:rPr>
                <w:rFonts w:ascii="仿宋_GB2312" w:hAnsi="Times New Roman" w:eastAsia="仿宋_GB2312"/>
                <w:sz w:val="24"/>
                <w:szCs w:val="24"/>
              </w:rPr>
            </w:pPr>
          </w:p>
        </w:tc>
        <w:tc>
          <w:tcPr>
            <w:tcW w:w="4819" w:type="dxa"/>
            <w:gridSpan w:val="4"/>
            <w:vAlign w:val="center"/>
          </w:tcPr>
          <w:p>
            <w:pPr>
              <w:rPr>
                <w:rFonts w:ascii="仿宋_GB2312" w:eastAsia="仿宋_GB2312"/>
                <w:sz w:val="24"/>
                <w:szCs w:val="24"/>
              </w:rPr>
            </w:pPr>
          </w:p>
        </w:tc>
        <w:tc>
          <w:tcPr>
            <w:tcW w:w="1319" w:type="dxa"/>
            <w:gridSpan w:val="2"/>
            <w:vAlign w:val="center"/>
          </w:tcPr>
          <w:p>
            <w:pPr>
              <w:spacing w:line="259" w:lineRule="auto"/>
              <w:rPr>
                <w:rFonts w:ascii="仿宋_GB2312" w:eastAsia="仿宋_GB2312"/>
                <w:sz w:val="24"/>
                <w:szCs w:val="24"/>
              </w:rPr>
            </w:pPr>
          </w:p>
        </w:tc>
      </w:tr>
    </w:tbl>
    <w:p>
      <w:pPr>
        <w:rPr>
          <w:rFonts w:ascii="黑体" w:hAnsi="仿宋" w:eastAsia="黑体"/>
          <w:sz w:val="30"/>
          <w:szCs w:val="30"/>
        </w:rPr>
      </w:pPr>
    </w:p>
    <w:p>
      <w:pPr>
        <w:spacing w:after="240"/>
        <w:ind w:firstLine="600" w:firstLineChars="200"/>
        <w:rPr>
          <w:rFonts w:ascii="黑体" w:hAnsi="仿宋" w:eastAsia="黑体"/>
          <w:sz w:val="30"/>
          <w:szCs w:val="30"/>
        </w:rPr>
      </w:pPr>
      <w:r>
        <w:rPr>
          <w:rFonts w:hint="eastAsia" w:ascii="黑体" w:hAnsi="仿宋" w:eastAsia="黑体"/>
          <w:sz w:val="30"/>
          <w:szCs w:val="30"/>
        </w:rPr>
        <w:t>二、报送专业情况</w:t>
      </w:r>
    </w:p>
    <w:p>
      <w:pPr>
        <w:spacing w:after="240"/>
        <w:ind w:firstLine="600" w:firstLineChars="200"/>
        <w:rPr>
          <w:rFonts w:ascii="楷体_GB2312" w:hAnsi="仿宋" w:eastAsia="楷体_GB2312"/>
          <w:sz w:val="30"/>
          <w:szCs w:val="30"/>
        </w:rPr>
      </w:pPr>
      <w:r>
        <w:rPr>
          <w:rFonts w:hint="eastAsia" w:ascii="楷体_GB2312" w:hAnsi="仿宋" w:eastAsia="楷体_GB2312"/>
          <w:sz w:val="30"/>
          <w:szCs w:val="30"/>
        </w:rPr>
        <w:t>1.专业基本情况</w:t>
      </w:r>
    </w:p>
    <w:tbl>
      <w:tblPr>
        <w:tblStyle w:val="6"/>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8" w:type="dxa"/>
            <w:vAlign w:val="center"/>
          </w:tcPr>
          <w:p>
            <w:pPr>
              <w:adjustRightInd w:val="0"/>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专业名称</w:t>
            </w:r>
          </w:p>
        </w:tc>
        <w:tc>
          <w:tcPr>
            <w:tcW w:w="1735" w:type="dxa"/>
            <w:vAlign w:val="center"/>
          </w:tcPr>
          <w:p>
            <w:pPr>
              <w:spacing w:line="360" w:lineRule="auto"/>
              <w:jc w:val="center"/>
              <w:rPr>
                <w:rFonts w:ascii="仿宋_GB2312" w:hAnsi="Times New Roman" w:eastAsia="仿宋_GB2312"/>
                <w:sz w:val="24"/>
                <w:szCs w:val="24"/>
              </w:rPr>
            </w:pPr>
          </w:p>
        </w:tc>
        <w:tc>
          <w:tcPr>
            <w:tcW w:w="2453" w:type="dxa"/>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专业代码</w:t>
            </w:r>
          </w:p>
        </w:tc>
        <w:tc>
          <w:tcPr>
            <w:tcW w:w="2621" w:type="dxa"/>
            <w:vAlign w:val="center"/>
          </w:tcPr>
          <w:p>
            <w:pPr>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8" w:type="dxa"/>
            <w:vAlign w:val="center"/>
          </w:tcPr>
          <w:p>
            <w:pPr>
              <w:adjustRightInd w:val="0"/>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修业年限</w:t>
            </w:r>
          </w:p>
        </w:tc>
        <w:tc>
          <w:tcPr>
            <w:tcW w:w="1735" w:type="dxa"/>
            <w:vAlign w:val="center"/>
          </w:tcPr>
          <w:p>
            <w:pPr>
              <w:spacing w:line="360" w:lineRule="auto"/>
              <w:jc w:val="center"/>
              <w:rPr>
                <w:rFonts w:ascii="仿宋_GB2312" w:hAnsi="Times New Roman" w:eastAsia="仿宋_GB2312"/>
                <w:sz w:val="24"/>
                <w:szCs w:val="24"/>
              </w:rPr>
            </w:pPr>
          </w:p>
        </w:tc>
        <w:tc>
          <w:tcPr>
            <w:tcW w:w="2453" w:type="dxa"/>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学位授予门类</w:t>
            </w:r>
          </w:p>
        </w:tc>
        <w:tc>
          <w:tcPr>
            <w:tcW w:w="2621" w:type="dxa"/>
            <w:vAlign w:val="center"/>
          </w:tcPr>
          <w:p>
            <w:pPr>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8" w:type="dxa"/>
            <w:vAlign w:val="center"/>
          </w:tcPr>
          <w:p>
            <w:pPr>
              <w:adjustRightInd w:val="0"/>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专业设立时间</w:t>
            </w:r>
          </w:p>
        </w:tc>
        <w:tc>
          <w:tcPr>
            <w:tcW w:w="1735" w:type="dxa"/>
            <w:vAlign w:val="center"/>
          </w:tcPr>
          <w:p>
            <w:pPr>
              <w:spacing w:line="360" w:lineRule="auto"/>
              <w:jc w:val="center"/>
              <w:rPr>
                <w:rFonts w:ascii="仿宋_GB2312" w:hAnsi="Times New Roman" w:eastAsia="仿宋_GB2312"/>
                <w:sz w:val="24"/>
                <w:szCs w:val="24"/>
              </w:rPr>
            </w:pPr>
          </w:p>
        </w:tc>
        <w:tc>
          <w:tcPr>
            <w:tcW w:w="2453" w:type="dxa"/>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所在院系名称</w:t>
            </w:r>
          </w:p>
        </w:tc>
        <w:tc>
          <w:tcPr>
            <w:tcW w:w="2621" w:type="dxa"/>
            <w:vAlign w:val="center"/>
          </w:tcPr>
          <w:p>
            <w:pPr>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8" w:type="dxa"/>
            <w:vAlign w:val="center"/>
          </w:tcPr>
          <w:p>
            <w:pPr>
              <w:adjustRightInd w:val="0"/>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专业总学分</w:t>
            </w:r>
          </w:p>
        </w:tc>
        <w:tc>
          <w:tcPr>
            <w:tcW w:w="1735" w:type="dxa"/>
            <w:vAlign w:val="center"/>
          </w:tcPr>
          <w:p>
            <w:pPr>
              <w:spacing w:line="360" w:lineRule="auto"/>
              <w:jc w:val="center"/>
              <w:rPr>
                <w:rFonts w:ascii="仿宋_GB2312" w:hAnsi="Times New Roman" w:eastAsia="仿宋_GB2312"/>
                <w:sz w:val="24"/>
                <w:szCs w:val="24"/>
              </w:rPr>
            </w:pPr>
          </w:p>
        </w:tc>
        <w:tc>
          <w:tcPr>
            <w:tcW w:w="2453" w:type="dxa"/>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专业总学时</w:t>
            </w:r>
          </w:p>
        </w:tc>
        <w:tc>
          <w:tcPr>
            <w:tcW w:w="2621" w:type="dxa"/>
            <w:vAlign w:val="center"/>
          </w:tcPr>
          <w:p>
            <w:pPr>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23" w:type="dxa"/>
            <w:gridSpan w:val="2"/>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实践教学环节学分占总学分比例</w:t>
            </w:r>
          </w:p>
        </w:tc>
        <w:tc>
          <w:tcPr>
            <w:tcW w:w="5074" w:type="dxa"/>
            <w:gridSpan w:val="2"/>
            <w:vAlign w:val="center"/>
          </w:tcPr>
          <w:p>
            <w:pPr>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23" w:type="dxa"/>
            <w:gridSpan w:val="2"/>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本专业教授给本科生上课的比例</w:t>
            </w:r>
          </w:p>
        </w:tc>
        <w:tc>
          <w:tcPr>
            <w:tcW w:w="5074" w:type="dxa"/>
            <w:gridSpan w:val="2"/>
            <w:vAlign w:val="center"/>
          </w:tcPr>
          <w:p>
            <w:pPr>
              <w:spacing w:line="360" w:lineRule="auto"/>
              <w:jc w:val="center"/>
              <w:rPr>
                <w:rFonts w:ascii="仿宋_GB2312" w:hAnsi="Times New Roman" w:eastAsia="仿宋_GB2312"/>
                <w:sz w:val="24"/>
                <w:szCs w:val="24"/>
              </w:rPr>
            </w:pPr>
          </w:p>
        </w:tc>
      </w:tr>
    </w:tbl>
    <w:p>
      <w:pPr>
        <w:ind w:firstLine="480" w:firstLineChars="200"/>
        <w:rPr>
          <w:rFonts w:ascii="楷体_GB2312" w:hAnsi="仿宋" w:eastAsia="楷体_GB2312"/>
          <w:sz w:val="24"/>
          <w:szCs w:val="24"/>
        </w:rPr>
      </w:pPr>
      <w:r>
        <w:rPr>
          <w:rFonts w:ascii="楷体_GB2312" w:hAnsi="仿宋" w:eastAsia="楷体_GB2312"/>
          <w:sz w:val="24"/>
          <w:szCs w:val="24"/>
        </w:rPr>
        <w:t>注</w:t>
      </w:r>
      <w:r>
        <w:rPr>
          <w:rFonts w:hint="eastAsia" w:ascii="楷体_GB2312" w:hAnsi="仿宋" w:eastAsia="楷体_GB2312"/>
          <w:sz w:val="24"/>
          <w:szCs w:val="24"/>
        </w:rPr>
        <w:t>：以上数据填报口径为2</w:t>
      </w:r>
      <w:r>
        <w:rPr>
          <w:rFonts w:ascii="楷体_GB2312" w:hAnsi="仿宋" w:eastAsia="楷体_GB2312"/>
          <w:sz w:val="24"/>
          <w:szCs w:val="24"/>
        </w:rPr>
        <w:t>018</w:t>
      </w:r>
      <w:r>
        <w:rPr>
          <w:rFonts w:hint="eastAsia" w:ascii="楷体_GB2312" w:hAnsi="仿宋" w:eastAsia="楷体_GB2312"/>
          <w:sz w:val="24"/>
          <w:szCs w:val="24"/>
        </w:rPr>
        <w:t>-</w:t>
      </w:r>
      <w:r>
        <w:rPr>
          <w:rFonts w:ascii="楷体_GB2312" w:hAnsi="仿宋" w:eastAsia="楷体_GB2312"/>
          <w:sz w:val="24"/>
          <w:szCs w:val="24"/>
        </w:rPr>
        <w:t>2019学年数据</w:t>
      </w:r>
      <w:r>
        <w:rPr>
          <w:rFonts w:hint="eastAsia" w:ascii="楷体_GB2312" w:hAnsi="仿宋" w:eastAsia="楷体_GB2312"/>
          <w:sz w:val="24"/>
          <w:szCs w:val="24"/>
        </w:rPr>
        <w:t>。</w:t>
      </w:r>
    </w:p>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2.专业负责人基本情况</w:t>
      </w:r>
    </w:p>
    <w:tbl>
      <w:tblPr>
        <w:tblStyle w:val="6"/>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41"/>
        <w:gridCol w:w="1418"/>
        <w:gridCol w:w="1134"/>
        <w:gridCol w:w="1701"/>
        <w:gridCol w:w="813"/>
        <w:gridCol w:w="80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Merge w:val="restart"/>
            <w:vAlign w:val="center"/>
          </w:tcPr>
          <w:p>
            <w:pPr>
              <w:snapToGrid w:val="0"/>
              <w:spacing w:before="240" w:after="240" w:line="360" w:lineRule="auto"/>
              <w:jc w:val="center"/>
              <w:rPr>
                <w:rFonts w:ascii="仿宋_GB2312" w:hAnsi="Times New Roman" w:eastAsia="仿宋_GB2312"/>
                <w:sz w:val="24"/>
                <w:szCs w:val="24"/>
              </w:rPr>
            </w:pPr>
            <w:r>
              <w:rPr>
                <w:rFonts w:hint="eastAsia" w:ascii="仿宋_GB2312" w:hAnsi="Times New Roman" w:eastAsia="仿宋_GB2312"/>
                <w:sz w:val="24"/>
                <w:szCs w:val="24"/>
              </w:rPr>
              <w:t>姓名</w:t>
            </w:r>
          </w:p>
        </w:tc>
        <w:tc>
          <w:tcPr>
            <w:tcW w:w="1041" w:type="dxa"/>
            <w:vMerge w:val="restart"/>
            <w:vAlign w:val="center"/>
          </w:tcPr>
          <w:p>
            <w:pPr>
              <w:snapToGrid w:val="0"/>
              <w:spacing w:line="360" w:lineRule="auto"/>
              <w:jc w:val="center"/>
              <w:rPr>
                <w:rFonts w:ascii="仿宋_GB2312" w:hAnsi="Times New Roman" w:eastAsia="仿宋_GB2312"/>
                <w:sz w:val="24"/>
                <w:szCs w:val="24"/>
              </w:rPr>
            </w:pPr>
          </w:p>
        </w:tc>
        <w:tc>
          <w:tcPr>
            <w:tcW w:w="1418"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性别</w:t>
            </w:r>
          </w:p>
        </w:tc>
        <w:tc>
          <w:tcPr>
            <w:tcW w:w="1134" w:type="dxa"/>
            <w:vAlign w:val="center"/>
          </w:tcPr>
          <w:p>
            <w:pPr>
              <w:snapToGrid w:val="0"/>
              <w:spacing w:line="360" w:lineRule="auto"/>
              <w:jc w:val="center"/>
              <w:rPr>
                <w:rFonts w:ascii="仿宋_GB2312" w:hAnsi="Times New Roman" w:eastAsia="仿宋_GB2312"/>
                <w:sz w:val="24"/>
                <w:szCs w:val="24"/>
              </w:rPr>
            </w:pPr>
          </w:p>
        </w:tc>
        <w:tc>
          <w:tcPr>
            <w:tcW w:w="1701"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专业技术职务</w:t>
            </w:r>
          </w:p>
        </w:tc>
        <w:tc>
          <w:tcPr>
            <w:tcW w:w="813" w:type="dxa"/>
            <w:vAlign w:val="center"/>
          </w:tcPr>
          <w:p>
            <w:pPr>
              <w:snapToGrid w:val="0"/>
              <w:spacing w:line="360" w:lineRule="auto"/>
              <w:jc w:val="center"/>
              <w:rPr>
                <w:rFonts w:ascii="仿宋_GB2312" w:hAnsi="Times New Roman" w:eastAsia="仿宋_GB2312"/>
                <w:sz w:val="24"/>
                <w:szCs w:val="24"/>
              </w:rPr>
            </w:pPr>
          </w:p>
        </w:tc>
        <w:tc>
          <w:tcPr>
            <w:tcW w:w="806"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学历</w:t>
            </w:r>
          </w:p>
        </w:tc>
        <w:tc>
          <w:tcPr>
            <w:tcW w:w="1173" w:type="dxa"/>
            <w:vAlign w:val="center"/>
          </w:tcPr>
          <w:p>
            <w:pPr>
              <w:snapToGrid w:val="0"/>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Merge w:val="continue"/>
            <w:vAlign w:val="center"/>
          </w:tcPr>
          <w:p>
            <w:pPr>
              <w:snapToGrid w:val="0"/>
              <w:spacing w:line="360" w:lineRule="auto"/>
              <w:jc w:val="center"/>
              <w:rPr>
                <w:rFonts w:ascii="仿宋_GB2312" w:hAnsi="Times New Roman" w:eastAsia="仿宋_GB2312"/>
                <w:sz w:val="24"/>
                <w:szCs w:val="24"/>
              </w:rPr>
            </w:pPr>
          </w:p>
        </w:tc>
        <w:tc>
          <w:tcPr>
            <w:tcW w:w="1041" w:type="dxa"/>
            <w:vMerge w:val="continue"/>
            <w:vAlign w:val="center"/>
          </w:tcPr>
          <w:p>
            <w:pPr>
              <w:snapToGrid w:val="0"/>
              <w:spacing w:line="360" w:lineRule="auto"/>
              <w:jc w:val="center"/>
              <w:rPr>
                <w:rFonts w:ascii="仿宋_GB2312" w:hAnsi="Times New Roman" w:eastAsia="仿宋_GB2312"/>
                <w:sz w:val="24"/>
                <w:szCs w:val="24"/>
              </w:rPr>
            </w:pPr>
          </w:p>
        </w:tc>
        <w:tc>
          <w:tcPr>
            <w:tcW w:w="1418"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出生年月</w:t>
            </w:r>
          </w:p>
        </w:tc>
        <w:tc>
          <w:tcPr>
            <w:tcW w:w="1134" w:type="dxa"/>
            <w:vAlign w:val="center"/>
          </w:tcPr>
          <w:p>
            <w:pPr>
              <w:snapToGrid w:val="0"/>
              <w:spacing w:line="360" w:lineRule="auto"/>
              <w:jc w:val="center"/>
              <w:rPr>
                <w:rFonts w:ascii="仿宋_GB2312" w:hAnsi="Times New Roman" w:eastAsia="仿宋_GB2312"/>
                <w:sz w:val="24"/>
                <w:szCs w:val="24"/>
              </w:rPr>
            </w:pPr>
          </w:p>
        </w:tc>
        <w:tc>
          <w:tcPr>
            <w:tcW w:w="1701"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行政职务</w:t>
            </w:r>
          </w:p>
        </w:tc>
        <w:tc>
          <w:tcPr>
            <w:tcW w:w="813" w:type="dxa"/>
            <w:vAlign w:val="center"/>
          </w:tcPr>
          <w:p>
            <w:pPr>
              <w:snapToGrid w:val="0"/>
              <w:spacing w:line="360" w:lineRule="auto"/>
              <w:jc w:val="center"/>
              <w:rPr>
                <w:rFonts w:ascii="仿宋_GB2312" w:hAnsi="Times New Roman" w:eastAsia="仿宋_GB2312"/>
                <w:sz w:val="24"/>
                <w:szCs w:val="24"/>
              </w:rPr>
            </w:pPr>
          </w:p>
        </w:tc>
        <w:tc>
          <w:tcPr>
            <w:tcW w:w="806" w:type="dxa"/>
            <w:vAlign w:val="center"/>
          </w:tcPr>
          <w:p>
            <w:pPr>
              <w:snapToGri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学位</w:t>
            </w:r>
          </w:p>
        </w:tc>
        <w:tc>
          <w:tcPr>
            <w:tcW w:w="1173" w:type="dxa"/>
            <w:vAlign w:val="center"/>
          </w:tcPr>
          <w:p>
            <w:pPr>
              <w:snapToGrid w:val="0"/>
              <w:spacing w:line="360" w:lineRule="auto"/>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jc w:val="center"/>
        </w:trPr>
        <w:tc>
          <w:tcPr>
            <w:tcW w:w="1774" w:type="dxa"/>
            <w:gridSpan w:val="2"/>
            <w:vAlign w:val="center"/>
          </w:tcPr>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研究方向和近五年主讲的本科课程</w:t>
            </w:r>
          </w:p>
        </w:tc>
        <w:tc>
          <w:tcPr>
            <w:tcW w:w="7045" w:type="dxa"/>
            <w:gridSpan w:val="6"/>
            <w:vAlign w:val="center"/>
          </w:tcPr>
          <w:p>
            <w:pPr>
              <w:spacing w:line="360" w:lineRule="auto"/>
              <w:jc w:val="left"/>
              <w:rPr>
                <w:rFonts w:ascii="仿宋_GB2312" w:hAnsi="Times New Roman" w:eastAsia="仿宋_GB2312"/>
                <w:sz w:val="24"/>
                <w:szCs w:val="24"/>
              </w:rPr>
            </w:pPr>
          </w:p>
        </w:tc>
      </w:tr>
    </w:tbl>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3.近5年本专业毕业生就业（升学）情况</w:t>
      </w:r>
    </w:p>
    <w:tbl>
      <w:tblPr>
        <w:tblStyle w:val="6"/>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年份</w:t>
            </w:r>
          </w:p>
        </w:tc>
        <w:tc>
          <w:tcPr>
            <w:tcW w:w="1319"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毕业生</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人数</w:t>
            </w:r>
          </w:p>
        </w:tc>
        <w:tc>
          <w:tcPr>
            <w:tcW w:w="1583"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境内升学</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人数</w:t>
            </w:r>
          </w:p>
        </w:tc>
        <w:tc>
          <w:tcPr>
            <w:tcW w:w="1583"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境外升学</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人数</w:t>
            </w:r>
          </w:p>
        </w:tc>
        <w:tc>
          <w:tcPr>
            <w:tcW w:w="1319"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就业人数</w:t>
            </w:r>
          </w:p>
        </w:tc>
        <w:tc>
          <w:tcPr>
            <w:tcW w:w="1954"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自主创业</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2019年</w:t>
            </w:r>
          </w:p>
        </w:tc>
        <w:tc>
          <w:tcPr>
            <w:tcW w:w="1319"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319" w:type="dxa"/>
            <w:vAlign w:val="center"/>
          </w:tcPr>
          <w:p>
            <w:pPr>
              <w:snapToGrid w:val="0"/>
              <w:jc w:val="center"/>
              <w:rPr>
                <w:rFonts w:ascii="仿宋_GB2312" w:hAnsi="Times New Roman" w:eastAsia="仿宋_GB2312"/>
                <w:sz w:val="24"/>
                <w:szCs w:val="24"/>
              </w:rPr>
            </w:pPr>
          </w:p>
        </w:tc>
        <w:tc>
          <w:tcPr>
            <w:tcW w:w="1954" w:type="dxa"/>
            <w:vAlign w:val="center"/>
          </w:tcPr>
          <w:p>
            <w:pPr>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2018年</w:t>
            </w:r>
          </w:p>
        </w:tc>
        <w:tc>
          <w:tcPr>
            <w:tcW w:w="1319"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319" w:type="dxa"/>
            <w:vAlign w:val="center"/>
          </w:tcPr>
          <w:p>
            <w:pPr>
              <w:snapToGrid w:val="0"/>
              <w:jc w:val="center"/>
              <w:rPr>
                <w:rFonts w:ascii="仿宋_GB2312" w:hAnsi="Times New Roman" w:eastAsia="仿宋_GB2312"/>
                <w:sz w:val="24"/>
                <w:szCs w:val="24"/>
              </w:rPr>
            </w:pPr>
          </w:p>
        </w:tc>
        <w:tc>
          <w:tcPr>
            <w:tcW w:w="1954" w:type="dxa"/>
            <w:vAlign w:val="center"/>
          </w:tcPr>
          <w:p>
            <w:pPr>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2017年</w:t>
            </w:r>
          </w:p>
        </w:tc>
        <w:tc>
          <w:tcPr>
            <w:tcW w:w="1319"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319" w:type="dxa"/>
            <w:vAlign w:val="center"/>
          </w:tcPr>
          <w:p>
            <w:pPr>
              <w:snapToGrid w:val="0"/>
              <w:jc w:val="center"/>
              <w:rPr>
                <w:rFonts w:ascii="仿宋_GB2312" w:hAnsi="Times New Roman" w:eastAsia="仿宋_GB2312"/>
                <w:sz w:val="24"/>
                <w:szCs w:val="24"/>
              </w:rPr>
            </w:pPr>
          </w:p>
        </w:tc>
        <w:tc>
          <w:tcPr>
            <w:tcW w:w="1954" w:type="dxa"/>
            <w:vAlign w:val="center"/>
          </w:tcPr>
          <w:p>
            <w:pPr>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2016年</w:t>
            </w:r>
          </w:p>
        </w:tc>
        <w:tc>
          <w:tcPr>
            <w:tcW w:w="1319"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319" w:type="dxa"/>
            <w:vAlign w:val="center"/>
          </w:tcPr>
          <w:p>
            <w:pPr>
              <w:snapToGrid w:val="0"/>
              <w:jc w:val="center"/>
              <w:rPr>
                <w:rFonts w:ascii="仿宋_GB2312" w:hAnsi="Times New Roman" w:eastAsia="仿宋_GB2312"/>
                <w:sz w:val="24"/>
                <w:szCs w:val="24"/>
              </w:rPr>
            </w:pPr>
          </w:p>
        </w:tc>
        <w:tc>
          <w:tcPr>
            <w:tcW w:w="1954" w:type="dxa"/>
            <w:vAlign w:val="center"/>
          </w:tcPr>
          <w:p>
            <w:pPr>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2015年</w:t>
            </w:r>
          </w:p>
        </w:tc>
        <w:tc>
          <w:tcPr>
            <w:tcW w:w="1319"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583" w:type="dxa"/>
            <w:vAlign w:val="center"/>
          </w:tcPr>
          <w:p>
            <w:pPr>
              <w:snapToGrid w:val="0"/>
              <w:jc w:val="center"/>
              <w:rPr>
                <w:rFonts w:ascii="仿宋_GB2312" w:hAnsi="Times New Roman" w:eastAsia="仿宋_GB2312"/>
                <w:sz w:val="24"/>
                <w:szCs w:val="24"/>
              </w:rPr>
            </w:pPr>
          </w:p>
        </w:tc>
        <w:tc>
          <w:tcPr>
            <w:tcW w:w="1319" w:type="dxa"/>
            <w:vAlign w:val="center"/>
          </w:tcPr>
          <w:p>
            <w:pPr>
              <w:snapToGrid w:val="0"/>
              <w:jc w:val="center"/>
              <w:rPr>
                <w:rFonts w:ascii="仿宋_GB2312" w:hAnsi="Times New Roman" w:eastAsia="仿宋_GB2312"/>
                <w:sz w:val="24"/>
                <w:szCs w:val="24"/>
              </w:rPr>
            </w:pPr>
          </w:p>
        </w:tc>
        <w:tc>
          <w:tcPr>
            <w:tcW w:w="1954" w:type="dxa"/>
            <w:vAlign w:val="center"/>
          </w:tcPr>
          <w:p>
            <w:pPr>
              <w:snapToGrid w:val="0"/>
              <w:jc w:val="center"/>
              <w:rPr>
                <w:rFonts w:ascii="仿宋_GB2312" w:hAnsi="Times New Roman" w:eastAsia="仿宋_GB2312"/>
                <w:sz w:val="24"/>
                <w:szCs w:val="24"/>
              </w:rPr>
            </w:pPr>
          </w:p>
        </w:tc>
      </w:tr>
    </w:tbl>
    <w:p>
      <w:pPr>
        <w:spacing w:before="240" w:after="240"/>
        <w:ind w:firstLine="600" w:firstLineChars="200"/>
        <w:rPr>
          <w:rFonts w:ascii="楷体_GB2312" w:hAnsi="仿宋" w:eastAsia="楷体_GB2312"/>
          <w:sz w:val="30"/>
          <w:szCs w:val="30"/>
        </w:rPr>
      </w:pPr>
      <w:r>
        <w:rPr>
          <w:rFonts w:ascii="楷体_GB2312" w:hAnsi="仿宋" w:eastAsia="楷体_GB2312"/>
          <w:sz w:val="30"/>
          <w:szCs w:val="30"/>
        </w:rPr>
        <w:t>4.</w:t>
      </w:r>
      <w:r>
        <w:rPr>
          <w:rFonts w:hint="eastAsia" w:ascii="楷体_GB2312" w:hAnsi="仿宋" w:eastAsia="楷体_GB2312"/>
          <w:sz w:val="30"/>
          <w:szCs w:val="30"/>
        </w:rPr>
        <w:t>近5年本专业获省级及以上奖励和支持情况</w:t>
      </w:r>
    </w:p>
    <w:tbl>
      <w:tblPr>
        <w:tblStyle w:val="6"/>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835"/>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类别</w:t>
            </w:r>
          </w:p>
        </w:tc>
        <w:tc>
          <w:tcPr>
            <w:tcW w:w="827"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序号</w:t>
            </w:r>
          </w:p>
        </w:tc>
        <w:tc>
          <w:tcPr>
            <w:tcW w:w="1835"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项目名称</w:t>
            </w:r>
          </w:p>
        </w:tc>
        <w:tc>
          <w:tcPr>
            <w:tcW w:w="1723"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所获奖励或支持名称</w:t>
            </w:r>
          </w:p>
        </w:tc>
        <w:tc>
          <w:tcPr>
            <w:tcW w:w="850"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时间</w:t>
            </w:r>
          </w:p>
        </w:tc>
        <w:tc>
          <w:tcPr>
            <w:tcW w:w="785"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等级</w:t>
            </w:r>
          </w:p>
        </w:tc>
        <w:tc>
          <w:tcPr>
            <w:tcW w:w="1279" w:type="dxa"/>
            <w:vAlign w:val="center"/>
          </w:tcPr>
          <w:p>
            <w:pPr>
              <w:snapToGrid w:val="0"/>
              <w:jc w:val="center"/>
              <w:rPr>
                <w:rFonts w:ascii="黑体" w:hAnsi="Times New Roman" w:eastAsia="黑体"/>
                <w:sz w:val="24"/>
                <w:szCs w:val="24"/>
              </w:rPr>
            </w:pPr>
            <w:r>
              <w:rPr>
                <w:rFonts w:hint="eastAsia" w:ascii="黑体" w:hAnsi="Times New Roman" w:eastAsia="黑体"/>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教学成果奖</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教学名师与</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教学团队</w:t>
            </w: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专业建设</w:t>
            </w: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widowControl/>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widowControl/>
              <w:snapToGrid w:val="0"/>
              <w:rPr>
                <w:rFonts w:ascii="Times New Roman" w:hAnsi="Times New Roman"/>
                <w:sz w:val="24"/>
                <w:szCs w:val="24"/>
              </w:rPr>
            </w:pPr>
          </w:p>
        </w:tc>
        <w:tc>
          <w:tcPr>
            <w:tcW w:w="1723" w:type="dxa"/>
            <w:vAlign w:val="center"/>
          </w:tcPr>
          <w:p>
            <w:pPr>
              <w:widowControl/>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课程与教材</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实验和实践</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教学平台</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教学改革</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项目</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“互联网+”大学生创新创业大赛</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continue"/>
            <w:vAlign w:val="center"/>
          </w:tcPr>
          <w:p>
            <w:pPr>
              <w:snapToGrid w:val="0"/>
              <w:jc w:val="center"/>
              <w:rPr>
                <w:rFonts w:ascii="仿宋_GB2312" w:hAnsi="Times New Roman" w:eastAsia="仿宋_GB2312"/>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jc w:val="center"/>
              <w:rPr>
                <w:rFonts w:ascii="Times New Roman" w:hAnsi="Times New Roman"/>
                <w:sz w:val="24"/>
                <w:szCs w:val="24"/>
              </w:rPr>
            </w:pPr>
          </w:p>
        </w:tc>
        <w:tc>
          <w:tcPr>
            <w:tcW w:w="785" w:type="dxa"/>
            <w:vAlign w:val="center"/>
          </w:tcPr>
          <w:p>
            <w:pPr>
              <w:snapToGrid w:val="0"/>
              <w:jc w:val="center"/>
              <w:rPr>
                <w:rFonts w:ascii="Times New Roman" w:hAnsi="Times New Roman"/>
                <w:sz w:val="24"/>
                <w:szCs w:val="24"/>
              </w:rPr>
            </w:pPr>
          </w:p>
        </w:tc>
        <w:tc>
          <w:tcPr>
            <w:tcW w:w="1279" w:type="dxa"/>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其他</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（限50项）</w:t>
            </w: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1</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rPr>
                <w:rFonts w:ascii="Times New Roman" w:hAnsi="Times New Roman"/>
                <w:sz w:val="24"/>
                <w:szCs w:val="24"/>
              </w:rPr>
            </w:pPr>
          </w:p>
        </w:tc>
        <w:tc>
          <w:tcPr>
            <w:tcW w:w="785" w:type="dxa"/>
            <w:vAlign w:val="center"/>
          </w:tcPr>
          <w:p>
            <w:pPr>
              <w:snapToGrid w:val="0"/>
              <w:rPr>
                <w:rFonts w:ascii="Times New Roman" w:hAnsi="Times New Roman"/>
                <w:sz w:val="24"/>
                <w:szCs w:val="24"/>
              </w:rPr>
            </w:pPr>
          </w:p>
        </w:tc>
        <w:tc>
          <w:tcPr>
            <w:tcW w:w="1279" w:type="dxa"/>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continue"/>
            <w:vAlign w:val="center"/>
          </w:tcPr>
          <w:p>
            <w:pPr>
              <w:snapToGrid w:val="0"/>
              <w:rPr>
                <w:rFonts w:ascii="Times New Roman" w:hAnsi="Times New Roman"/>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2</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rPr>
                <w:rFonts w:ascii="Times New Roman" w:hAnsi="Times New Roman"/>
                <w:sz w:val="24"/>
                <w:szCs w:val="24"/>
              </w:rPr>
            </w:pPr>
          </w:p>
        </w:tc>
        <w:tc>
          <w:tcPr>
            <w:tcW w:w="785" w:type="dxa"/>
            <w:vAlign w:val="center"/>
          </w:tcPr>
          <w:p>
            <w:pPr>
              <w:snapToGrid w:val="0"/>
              <w:rPr>
                <w:rFonts w:ascii="Times New Roman" w:hAnsi="Times New Roman"/>
                <w:sz w:val="24"/>
                <w:szCs w:val="24"/>
              </w:rPr>
            </w:pPr>
          </w:p>
        </w:tc>
        <w:tc>
          <w:tcPr>
            <w:tcW w:w="1279" w:type="dxa"/>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25" w:type="dxa"/>
            <w:vMerge w:val="continue"/>
            <w:vAlign w:val="center"/>
          </w:tcPr>
          <w:p>
            <w:pPr>
              <w:snapToGrid w:val="0"/>
              <w:rPr>
                <w:rFonts w:ascii="Times New Roman" w:hAnsi="Times New Roman"/>
                <w:sz w:val="24"/>
                <w:szCs w:val="24"/>
              </w:rPr>
            </w:pPr>
          </w:p>
        </w:tc>
        <w:tc>
          <w:tcPr>
            <w:tcW w:w="827" w:type="dxa"/>
            <w:vAlign w:val="center"/>
          </w:tcPr>
          <w:p>
            <w:pPr>
              <w:snapToGrid w:val="0"/>
              <w:jc w:val="center"/>
              <w:rPr>
                <w:rFonts w:ascii="Times New Roman" w:hAnsi="Times New Roman"/>
                <w:sz w:val="24"/>
                <w:szCs w:val="24"/>
              </w:rPr>
            </w:pPr>
            <w:r>
              <w:rPr>
                <w:rFonts w:hint="eastAsia" w:ascii="Times New Roman" w:hAnsi="Times New Roman"/>
                <w:sz w:val="24"/>
                <w:szCs w:val="24"/>
              </w:rPr>
              <w:t>…</w:t>
            </w:r>
          </w:p>
        </w:tc>
        <w:tc>
          <w:tcPr>
            <w:tcW w:w="1835" w:type="dxa"/>
            <w:vAlign w:val="center"/>
          </w:tcPr>
          <w:p>
            <w:pPr>
              <w:snapToGrid w:val="0"/>
              <w:rPr>
                <w:rFonts w:ascii="Times New Roman" w:hAnsi="Times New Roman"/>
                <w:sz w:val="24"/>
                <w:szCs w:val="24"/>
              </w:rPr>
            </w:pPr>
          </w:p>
        </w:tc>
        <w:tc>
          <w:tcPr>
            <w:tcW w:w="1723" w:type="dxa"/>
            <w:vAlign w:val="center"/>
          </w:tcPr>
          <w:p>
            <w:pPr>
              <w:snapToGrid w:val="0"/>
              <w:rPr>
                <w:rFonts w:ascii="Times New Roman" w:hAnsi="Times New Roman"/>
                <w:sz w:val="24"/>
                <w:szCs w:val="24"/>
              </w:rPr>
            </w:pPr>
          </w:p>
        </w:tc>
        <w:tc>
          <w:tcPr>
            <w:tcW w:w="850" w:type="dxa"/>
            <w:vAlign w:val="center"/>
          </w:tcPr>
          <w:p>
            <w:pPr>
              <w:snapToGrid w:val="0"/>
              <w:rPr>
                <w:rFonts w:ascii="Times New Roman" w:hAnsi="Times New Roman"/>
                <w:sz w:val="24"/>
                <w:szCs w:val="24"/>
              </w:rPr>
            </w:pPr>
          </w:p>
        </w:tc>
        <w:tc>
          <w:tcPr>
            <w:tcW w:w="785" w:type="dxa"/>
            <w:vAlign w:val="center"/>
          </w:tcPr>
          <w:p>
            <w:pPr>
              <w:snapToGrid w:val="0"/>
              <w:rPr>
                <w:rFonts w:ascii="Times New Roman" w:hAnsi="Times New Roman"/>
                <w:sz w:val="24"/>
                <w:szCs w:val="24"/>
              </w:rPr>
            </w:pPr>
          </w:p>
        </w:tc>
        <w:tc>
          <w:tcPr>
            <w:tcW w:w="1279" w:type="dxa"/>
            <w:vAlign w:val="center"/>
          </w:tcPr>
          <w:p>
            <w:pPr>
              <w:snapToGrid w:val="0"/>
              <w:rPr>
                <w:rFonts w:ascii="Times New Roman" w:hAnsi="Times New Roman"/>
                <w:sz w:val="24"/>
                <w:szCs w:val="24"/>
              </w:rPr>
            </w:pPr>
          </w:p>
        </w:tc>
      </w:tr>
    </w:tbl>
    <w:p>
      <w:pPr>
        <w:snapToGrid w:val="0"/>
        <w:ind w:left="718" w:hanging="717" w:hangingChars="299"/>
        <w:rPr>
          <w:rFonts w:ascii="楷体_GB2312" w:hAnsi="仿宋" w:eastAsia="楷体_GB2312"/>
          <w:color w:val="FF0000"/>
          <w:sz w:val="24"/>
          <w:szCs w:val="24"/>
        </w:rPr>
      </w:pPr>
    </w:p>
    <w:p>
      <w:pPr>
        <w:snapToGrid w:val="0"/>
        <w:ind w:left="718" w:hanging="717" w:hangingChars="299"/>
        <w:rPr>
          <w:rFonts w:ascii="楷体_GB2312" w:hAnsi="仿宋" w:eastAsia="楷体_GB2312"/>
          <w:sz w:val="24"/>
          <w:szCs w:val="24"/>
        </w:rPr>
      </w:pPr>
      <w:r>
        <w:rPr>
          <w:rFonts w:hint="eastAsia" w:ascii="楷体_GB2312" w:hAnsi="仿宋" w:eastAsia="楷体_GB2312"/>
          <w:sz w:val="24"/>
          <w:szCs w:val="24"/>
        </w:rPr>
        <w:t>注：1</w:t>
      </w:r>
      <w:r>
        <w:rPr>
          <w:rFonts w:ascii="楷体_GB2312" w:hAnsi="仿宋" w:eastAsia="楷体_GB2312"/>
          <w:sz w:val="24"/>
          <w:szCs w:val="24"/>
        </w:rPr>
        <w:t>.专业建设指本专业获得省部级</w:t>
      </w:r>
      <w:r>
        <w:rPr>
          <w:rFonts w:hint="eastAsia" w:ascii="楷体_GB2312" w:hAnsi="仿宋" w:eastAsia="楷体_GB2312"/>
          <w:sz w:val="24"/>
          <w:szCs w:val="24"/>
        </w:rPr>
        <w:t>特色专业、专业综合改革试点、一流专业等建设项目支持情况。</w:t>
      </w:r>
    </w:p>
    <w:p>
      <w:pPr>
        <w:snapToGrid w:val="0"/>
        <w:ind w:left="719" w:leftChars="228" w:hanging="240" w:hangingChars="100"/>
        <w:rPr>
          <w:rFonts w:ascii="楷体_GB2312" w:hAnsi="仿宋" w:eastAsia="楷体_GB2312"/>
          <w:color w:val="FF0000"/>
          <w:sz w:val="24"/>
          <w:szCs w:val="24"/>
        </w:rPr>
      </w:pPr>
      <w:r>
        <w:rPr>
          <w:rFonts w:ascii="楷体_GB2312" w:hAnsi="仿宋" w:eastAsia="楷体_GB2312"/>
          <w:sz w:val="24"/>
          <w:szCs w:val="24"/>
        </w:rPr>
        <w:t>2.其他指本专业教师和学生获得的省级及以上教育教学奖励和支持情况</w:t>
      </w:r>
      <w:r>
        <w:rPr>
          <w:rFonts w:hint="eastAsia" w:ascii="楷体_GB2312" w:hAnsi="仿宋" w:eastAsia="楷体_GB2312"/>
          <w:sz w:val="24"/>
          <w:szCs w:val="24"/>
        </w:rPr>
        <w:t>。</w:t>
      </w:r>
    </w:p>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5</w:t>
      </w:r>
      <w:r>
        <w:rPr>
          <w:rFonts w:ascii="楷体_GB2312" w:hAnsi="仿宋" w:eastAsia="楷体_GB2312"/>
          <w:sz w:val="30"/>
          <w:szCs w:val="30"/>
        </w:rPr>
        <w:t>.专业定位</w:t>
      </w:r>
      <w:r>
        <w:rPr>
          <w:rFonts w:hint="eastAsia" w:ascii="楷体_GB2312" w:hAnsi="仿宋" w:eastAsia="楷体_GB2312"/>
          <w:sz w:val="30"/>
          <w:szCs w:val="30"/>
        </w:rPr>
        <w:t>、</w:t>
      </w:r>
      <w:r>
        <w:rPr>
          <w:rFonts w:ascii="楷体_GB2312" w:hAnsi="仿宋" w:eastAsia="楷体_GB2312"/>
          <w:sz w:val="30"/>
          <w:szCs w:val="30"/>
        </w:rPr>
        <w:t>历史沿革和特色优势</w:t>
      </w:r>
    </w:p>
    <w:tbl>
      <w:tblPr>
        <w:tblStyle w:val="6"/>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7" w:hRule="atLeast"/>
          <w:jc w:val="center"/>
        </w:trPr>
        <w:tc>
          <w:tcPr>
            <w:tcW w:w="8787" w:type="dxa"/>
          </w:tcPr>
          <w:p>
            <w:pPr>
              <w:spacing w:before="240" w:after="240"/>
              <w:jc w:val="left"/>
              <w:rPr>
                <w:rFonts w:ascii="仿宋_GB2312" w:hAnsi="仿宋" w:eastAsia="仿宋_GB2312"/>
                <w:bCs/>
                <w:sz w:val="24"/>
                <w:szCs w:val="24"/>
              </w:rPr>
            </w:pPr>
            <w:r>
              <w:rPr>
                <w:rFonts w:hint="eastAsia" w:ascii="仿宋_GB2312" w:hAnsi="仿宋" w:eastAsia="仿宋_GB2312"/>
                <w:bCs/>
                <w:sz w:val="24"/>
                <w:szCs w:val="24"/>
              </w:rPr>
              <w:t>（限500字以内）</w:t>
            </w:r>
          </w:p>
        </w:tc>
      </w:tr>
    </w:tbl>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6</w:t>
      </w:r>
      <w:r>
        <w:rPr>
          <w:rFonts w:ascii="楷体_GB2312" w:hAnsi="仿宋" w:eastAsia="楷体_GB2312"/>
          <w:sz w:val="30"/>
          <w:szCs w:val="30"/>
        </w:rPr>
        <w:t>.深化专业</w:t>
      </w:r>
      <w:r>
        <w:rPr>
          <w:rFonts w:hint="eastAsia" w:ascii="楷体_GB2312" w:hAnsi="仿宋" w:eastAsia="楷体_GB2312"/>
          <w:sz w:val="30"/>
          <w:szCs w:val="30"/>
        </w:rPr>
        <w:t>综合</w:t>
      </w:r>
      <w:r>
        <w:rPr>
          <w:rFonts w:ascii="楷体_GB2312" w:hAnsi="仿宋" w:eastAsia="楷体_GB2312"/>
          <w:sz w:val="30"/>
          <w:szCs w:val="30"/>
        </w:rPr>
        <w:t>改革的主要</w:t>
      </w:r>
      <w:r>
        <w:rPr>
          <w:rFonts w:hint="eastAsia" w:ascii="楷体_GB2312" w:hAnsi="仿宋" w:eastAsia="楷体_GB2312"/>
          <w:sz w:val="30"/>
          <w:szCs w:val="30"/>
        </w:rPr>
        <w:t>举措和成效</w:t>
      </w:r>
    </w:p>
    <w:tbl>
      <w:tblPr>
        <w:tblStyle w:val="6"/>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6" w:hRule="atLeast"/>
          <w:jc w:val="center"/>
        </w:trPr>
        <w:tc>
          <w:tcPr>
            <w:tcW w:w="8829" w:type="dxa"/>
          </w:tcPr>
          <w:p>
            <w:pPr>
              <w:spacing w:before="240" w:after="240"/>
              <w:jc w:val="left"/>
              <w:rPr>
                <w:rFonts w:ascii="方正小标宋_GBK" w:hAnsi="Times New Roman"/>
                <w:b/>
                <w:bCs/>
                <w:szCs w:val="21"/>
              </w:rPr>
            </w:pPr>
            <w:r>
              <w:rPr>
                <w:rFonts w:hint="eastAsia" w:ascii="仿宋_GB2312" w:hAnsi="仿宋" w:eastAsia="仿宋_GB2312"/>
                <w:bCs/>
                <w:sz w:val="24"/>
                <w:szCs w:val="24"/>
              </w:rPr>
              <w:t>（限</w:t>
            </w:r>
            <w:r>
              <w:rPr>
                <w:rFonts w:ascii="仿宋_GB2312" w:hAnsi="仿宋" w:eastAsia="仿宋_GB2312"/>
                <w:bCs/>
                <w:sz w:val="24"/>
                <w:szCs w:val="24"/>
              </w:rPr>
              <w:t>1000字以内</w:t>
            </w:r>
            <w:r>
              <w:rPr>
                <w:rFonts w:hint="eastAsia" w:ascii="仿宋_GB2312" w:hAnsi="仿宋" w:eastAsia="仿宋_GB2312"/>
                <w:bCs/>
                <w:sz w:val="24"/>
                <w:szCs w:val="24"/>
              </w:rPr>
              <w:t>）</w:t>
            </w:r>
          </w:p>
        </w:tc>
      </w:tr>
    </w:tbl>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7</w:t>
      </w:r>
      <w:r>
        <w:rPr>
          <w:rFonts w:ascii="楷体_GB2312" w:hAnsi="仿宋" w:eastAsia="楷体_GB2312"/>
          <w:sz w:val="30"/>
          <w:szCs w:val="30"/>
        </w:rPr>
        <w:t>.加强师资队伍和基层教学组织建设的主要举措及成效</w:t>
      </w:r>
    </w:p>
    <w:tbl>
      <w:tblPr>
        <w:tblStyle w:val="6"/>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6" w:hRule="atLeast"/>
          <w:jc w:val="center"/>
        </w:trPr>
        <w:tc>
          <w:tcPr>
            <w:tcW w:w="8899" w:type="dxa"/>
          </w:tcPr>
          <w:p>
            <w:pPr>
              <w:spacing w:before="240" w:after="240"/>
              <w:jc w:val="left"/>
              <w:rPr>
                <w:rFonts w:ascii="方正小标宋_GBK" w:hAnsi="Times New Roman"/>
                <w:b/>
                <w:bCs/>
                <w:szCs w:val="21"/>
              </w:rPr>
            </w:pPr>
            <w:r>
              <w:rPr>
                <w:rFonts w:hint="eastAsia" w:ascii="仿宋_GB2312" w:hAnsi="仿宋" w:eastAsia="仿宋_GB2312"/>
                <w:bCs/>
                <w:sz w:val="24"/>
                <w:szCs w:val="24"/>
              </w:rPr>
              <w:t>（限</w:t>
            </w:r>
            <w:r>
              <w:rPr>
                <w:rFonts w:ascii="仿宋_GB2312" w:hAnsi="仿宋" w:eastAsia="仿宋_GB2312"/>
                <w:bCs/>
                <w:sz w:val="24"/>
                <w:szCs w:val="24"/>
              </w:rPr>
              <w:t>500字以内</w:t>
            </w:r>
            <w:r>
              <w:rPr>
                <w:rFonts w:hint="eastAsia" w:ascii="仿宋_GB2312" w:hAnsi="仿宋" w:eastAsia="仿宋_GB2312"/>
                <w:bCs/>
                <w:sz w:val="24"/>
                <w:szCs w:val="24"/>
              </w:rPr>
              <w:t>）</w:t>
            </w:r>
          </w:p>
        </w:tc>
      </w:tr>
    </w:tbl>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8.加强专业教学质量保障体系建设的主要举措和成效</w:t>
      </w:r>
    </w:p>
    <w:tbl>
      <w:tblPr>
        <w:tblStyle w:val="6"/>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trPr>
        <w:tc>
          <w:tcPr>
            <w:tcW w:w="8871" w:type="dxa"/>
          </w:tcPr>
          <w:p>
            <w:pPr>
              <w:spacing w:before="240" w:after="240"/>
              <w:jc w:val="left"/>
              <w:rPr>
                <w:rFonts w:ascii="方正小标宋_GBK" w:hAnsi="Times New Roman"/>
                <w:b/>
                <w:bCs/>
                <w:szCs w:val="21"/>
              </w:rPr>
            </w:pPr>
            <w:r>
              <w:rPr>
                <w:rFonts w:hint="eastAsia" w:ascii="仿宋_GB2312" w:hAnsi="仿宋" w:eastAsia="仿宋_GB2312"/>
                <w:bCs/>
                <w:sz w:val="24"/>
                <w:szCs w:val="24"/>
              </w:rPr>
              <w:t>（限</w:t>
            </w:r>
            <w:r>
              <w:rPr>
                <w:rFonts w:ascii="仿宋_GB2312" w:hAnsi="仿宋" w:eastAsia="仿宋_GB2312"/>
                <w:bCs/>
                <w:sz w:val="24"/>
                <w:szCs w:val="24"/>
              </w:rPr>
              <w:t>500字以内</w:t>
            </w:r>
            <w:r>
              <w:rPr>
                <w:rFonts w:hint="eastAsia" w:ascii="仿宋_GB2312" w:hAnsi="仿宋" w:eastAsia="仿宋_GB2312"/>
                <w:bCs/>
                <w:sz w:val="24"/>
                <w:szCs w:val="24"/>
              </w:rPr>
              <w:t>）</w:t>
            </w:r>
          </w:p>
        </w:tc>
      </w:tr>
    </w:tbl>
    <w:p>
      <w:pPr>
        <w:spacing w:before="240" w:after="240"/>
        <w:ind w:firstLine="600" w:firstLineChars="200"/>
        <w:rPr>
          <w:rFonts w:ascii="楷体_GB2312" w:hAnsi="仿宋" w:eastAsia="楷体_GB2312"/>
          <w:sz w:val="30"/>
          <w:szCs w:val="30"/>
        </w:rPr>
      </w:pPr>
      <w:r>
        <w:rPr>
          <w:rFonts w:hint="eastAsia" w:ascii="楷体_GB2312" w:hAnsi="仿宋" w:eastAsia="楷体_GB2312"/>
          <w:sz w:val="30"/>
          <w:szCs w:val="30"/>
        </w:rPr>
        <w:t>9</w:t>
      </w:r>
      <w:r>
        <w:rPr>
          <w:rFonts w:ascii="楷体_GB2312" w:hAnsi="仿宋" w:eastAsia="楷体_GB2312"/>
          <w:sz w:val="30"/>
          <w:szCs w:val="30"/>
        </w:rPr>
        <w:t>.毕业生培养质量的跟踪调查结果和外部评价</w:t>
      </w:r>
    </w:p>
    <w:tbl>
      <w:tblPr>
        <w:tblStyle w:val="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8" w:hRule="atLeast"/>
        </w:trPr>
        <w:tc>
          <w:tcPr>
            <w:tcW w:w="8857" w:type="dxa"/>
          </w:tcPr>
          <w:p>
            <w:pPr>
              <w:spacing w:before="240" w:after="240"/>
              <w:jc w:val="left"/>
              <w:rPr>
                <w:rFonts w:ascii="方正小标宋_GBK" w:hAnsi="Times New Roman"/>
                <w:b/>
                <w:bCs/>
                <w:szCs w:val="21"/>
              </w:rPr>
            </w:pPr>
            <w:r>
              <w:rPr>
                <w:rFonts w:hint="eastAsia" w:ascii="仿宋_GB2312" w:hAnsi="仿宋" w:eastAsia="仿宋_GB2312"/>
                <w:bCs/>
                <w:sz w:val="24"/>
                <w:szCs w:val="24"/>
              </w:rPr>
              <w:t>（限</w:t>
            </w:r>
            <w:r>
              <w:rPr>
                <w:rFonts w:ascii="仿宋_GB2312" w:hAnsi="仿宋" w:eastAsia="仿宋_GB2312"/>
                <w:bCs/>
                <w:sz w:val="24"/>
                <w:szCs w:val="24"/>
              </w:rPr>
              <w:t>500字以内</w:t>
            </w:r>
            <w:r>
              <w:rPr>
                <w:rFonts w:hint="eastAsia" w:ascii="仿宋_GB2312" w:hAnsi="仿宋" w:eastAsia="仿宋_GB2312"/>
                <w:bCs/>
                <w:sz w:val="24"/>
                <w:szCs w:val="24"/>
              </w:rPr>
              <w:t>）</w:t>
            </w:r>
          </w:p>
        </w:tc>
      </w:tr>
    </w:tbl>
    <w:p>
      <w:pPr>
        <w:spacing w:before="240" w:after="240"/>
        <w:ind w:firstLine="600" w:firstLineChars="200"/>
        <w:rPr>
          <w:rFonts w:ascii="黑体" w:hAnsi="仿宋" w:eastAsia="黑体"/>
          <w:sz w:val="30"/>
          <w:szCs w:val="30"/>
        </w:rPr>
      </w:pPr>
      <w:r>
        <w:rPr>
          <w:rFonts w:hint="eastAsia" w:ascii="黑体" w:hAnsi="仿宋" w:eastAsia="黑体"/>
          <w:sz w:val="30"/>
          <w:szCs w:val="30"/>
        </w:rPr>
        <w:t>三、</w:t>
      </w:r>
      <w:r>
        <w:rPr>
          <w:rFonts w:ascii="黑体" w:hAnsi="仿宋" w:eastAsia="黑体"/>
          <w:sz w:val="30"/>
          <w:szCs w:val="30"/>
        </w:rPr>
        <w:t>下一步推进专业建设和改革的主要思路</w:t>
      </w:r>
      <w:r>
        <w:rPr>
          <w:rFonts w:hint="eastAsia" w:ascii="黑体" w:hAnsi="仿宋" w:eastAsia="黑体"/>
          <w:sz w:val="30"/>
          <w:szCs w:val="30"/>
        </w:rPr>
        <w:t>及</w:t>
      </w:r>
      <w:r>
        <w:rPr>
          <w:rFonts w:ascii="黑体" w:hAnsi="仿宋" w:eastAsia="黑体"/>
          <w:sz w:val="30"/>
          <w:szCs w:val="30"/>
        </w:rPr>
        <w:t>举措</w:t>
      </w:r>
    </w:p>
    <w:tbl>
      <w:tblPr>
        <w:tblStyle w:val="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65" w:hRule="atLeast"/>
        </w:trPr>
        <w:tc>
          <w:tcPr>
            <w:tcW w:w="8857" w:type="dxa"/>
          </w:tcPr>
          <w:p>
            <w:pPr>
              <w:spacing w:before="240" w:after="240"/>
              <w:jc w:val="left"/>
              <w:rPr>
                <w:rFonts w:ascii="仿宋_GB2312" w:hAnsi="Times New Roman"/>
                <w:b/>
                <w:bCs/>
                <w:szCs w:val="21"/>
              </w:rPr>
            </w:pPr>
            <w:bookmarkStart w:id="0" w:name="_Hlk2001382"/>
            <w:r>
              <w:rPr>
                <w:rFonts w:hint="eastAsia" w:ascii="仿宋_GB2312" w:hAnsi="仿宋" w:eastAsia="仿宋_GB2312"/>
                <w:bCs/>
                <w:sz w:val="24"/>
                <w:szCs w:val="24"/>
              </w:rPr>
              <w:t>（限800字以内）</w:t>
            </w:r>
          </w:p>
        </w:tc>
      </w:tr>
      <w:bookmarkEnd w:id="0"/>
    </w:tbl>
    <w:p>
      <w:pPr>
        <w:snapToGrid w:val="0"/>
        <w:rPr>
          <w:rFonts w:ascii="仿宋" w:hAnsi="仿宋"/>
          <w:sz w:val="2"/>
          <w:szCs w:val="2"/>
        </w:rPr>
      </w:pPr>
    </w:p>
    <w:p>
      <w:pPr>
        <w:rPr>
          <w:rFonts w:ascii="仿宋_GB2312" w:eastAsia="仿宋_GB2312"/>
          <w:sz w:val="28"/>
          <w:szCs w:val="28"/>
        </w:rPr>
      </w:pPr>
    </w:p>
    <w:p>
      <w:pPr>
        <w:widowControl/>
        <w:jc w:val="left"/>
      </w:pPr>
    </w:p>
    <w:sectPr>
      <w:pgSz w:w="11906" w:h="16838"/>
      <w:pgMar w:top="1928" w:right="1588" w:bottom="1985"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8E"/>
    <w:rsid w:val="00005818"/>
    <w:rsid w:val="000776A2"/>
    <w:rsid w:val="00087FE8"/>
    <w:rsid w:val="000C4A2B"/>
    <w:rsid w:val="000F73D6"/>
    <w:rsid w:val="001519DA"/>
    <w:rsid w:val="0016037A"/>
    <w:rsid w:val="00172A27"/>
    <w:rsid w:val="001A3255"/>
    <w:rsid w:val="001A7F13"/>
    <w:rsid w:val="00217669"/>
    <w:rsid w:val="00261A4D"/>
    <w:rsid w:val="0026578A"/>
    <w:rsid w:val="00270014"/>
    <w:rsid w:val="00277076"/>
    <w:rsid w:val="003119A1"/>
    <w:rsid w:val="00324FED"/>
    <w:rsid w:val="00336747"/>
    <w:rsid w:val="00346D50"/>
    <w:rsid w:val="003A3FE4"/>
    <w:rsid w:val="003D0D56"/>
    <w:rsid w:val="003F048A"/>
    <w:rsid w:val="00403674"/>
    <w:rsid w:val="00435870"/>
    <w:rsid w:val="00447222"/>
    <w:rsid w:val="004529D5"/>
    <w:rsid w:val="004A7B9F"/>
    <w:rsid w:val="004C39A1"/>
    <w:rsid w:val="004E4247"/>
    <w:rsid w:val="00563CD6"/>
    <w:rsid w:val="0057121E"/>
    <w:rsid w:val="005E0426"/>
    <w:rsid w:val="005E1685"/>
    <w:rsid w:val="006B73D3"/>
    <w:rsid w:val="006E1D9B"/>
    <w:rsid w:val="006E3225"/>
    <w:rsid w:val="0070202C"/>
    <w:rsid w:val="00875CC4"/>
    <w:rsid w:val="008952E1"/>
    <w:rsid w:val="008B7D5E"/>
    <w:rsid w:val="00914CA1"/>
    <w:rsid w:val="0092682A"/>
    <w:rsid w:val="0094316F"/>
    <w:rsid w:val="00996F84"/>
    <w:rsid w:val="009F1550"/>
    <w:rsid w:val="00A93E9C"/>
    <w:rsid w:val="00AB70FD"/>
    <w:rsid w:val="00AD6CDA"/>
    <w:rsid w:val="00B158B2"/>
    <w:rsid w:val="00B32DA1"/>
    <w:rsid w:val="00B616BA"/>
    <w:rsid w:val="00B85EEF"/>
    <w:rsid w:val="00BA66B0"/>
    <w:rsid w:val="00BE1CDE"/>
    <w:rsid w:val="00C0697D"/>
    <w:rsid w:val="00C91F9D"/>
    <w:rsid w:val="00CA03B6"/>
    <w:rsid w:val="00CE3A9F"/>
    <w:rsid w:val="00CE42F5"/>
    <w:rsid w:val="00D04D31"/>
    <w:rsid w:val="00D11534"/>
    <w:rsid w:val="00D23BAC"/>
    <w:rsid w:val="00D268C5"/>
    <w:rsid w:val="00D36587"/>
    <w:rsid w:val="00D72DBD"/>
    <w:rsid w:val="00DB2B62"/>
    <w:rsid w:val="00DD7311"/>
    <w:rsid w:val="00DE31D4"/>
    <w:rsid w:val="00DE47AC"/>
    <w:rsid w:val="00E175AF"/>
    <w:rsid w:val="00E42218"/>
    <w:rsid w:val="00E60E21"/>
    <w:rsid w:val="00E847E4"/>
    <w:rsid w:val="00E90DF3"/>
    <w:rsid w:val="00F11D35"/>
    <w:rsid w:val="00F12AB0"/>
    <w:rsid w:val="00F205CF"/>
    <w:rsid w:val="00F27D56"/>
    <w:rsid w:val="00F31B8B"/>
    <w:rsid w:val="00F61AC0"/>
    <w:rsid w:val="00F810CA"/>
    <w:rsid w:val="00FA120B"/>
    <w:rsid w:val="7A6F04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rFonts w:ascii="Calibri" w:hAnsi="Calibri" w:eastAsia="宋体" w:cs="Times New Roman"/>
      <w:color w:val="0000FF"/>
      <w:u w:val="single"/>
    </w:rPr>
  </w:style>
  <w:style w:type="character" w:customStyle="1" w:styleId="7">
    <w:name w:val="页脚 Char"/>
    <w:basedOn w:val="4"/>
    <w:link w:val="2"/>
    <w:uiPriority w:val="0"/>
    <w:rPr>
      <w:rFonts w:ascii="Calibri" w:hAnsi="Calibri" w:eastAsia="宋体" w:cs="Times New Roman"/>
      <w:sz w:val="18"/>
      <w:szCs w:val="18"/>
    </w:rPr>
  </w:style>
  <w:style w:type="character" w:customStyle="1" w:styleId="8">
    <w:name w:val="页眉 Char"/>
    <w:basedOn w:val="4"/>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254</Words>
  <Characters>1451</Characters>
  <Lines>12</Lines>
  <Paragraphs>3</Paragraphs>
  <ScaleCrop>false</ScaleCrop>
  <LinksUpToDate>false</LinksUpToDate>
  <CharactersWithSpaces>1702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2020-05-29T07:33:00Z</dcterms:created>
  <dc:creator>Hewlett-Packard Company</dc:creator>
  <cp:lastModifiedBy>hp</cp:lastModifiedBy>
  <dcterms:modified xsi:type="dcterms:W3CDTF">2020-06-19T08:21:36Z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