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黑体" w:eastAsia="方正小标宋简体" w:cs="楷体_GB2312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楷体_GB2312"/>
          <w:color w:val="000000"/>
          <w:kern w:val="0"/>
          <w:sz w:val="44"/>
          <w:szCs w:val="44"/>
        </w:rPr>
        <w:t>河南省高等学校优秀基层教学组织</w:t>
      </w: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黑体" w:eastAsia="方正小标宋简体" w:cs="楷体_GB2312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楷体_GB2312"/>
          <w:color w:val="000000"/>
          <w:kern w:val="0"/>
          <w:sz w:val="44"/>
          <w:szCs w:val="44"/>
        </w:rPr>
        <w:t>认定标准</w:t>
      </w:r>
    </w:p>
    <w:p>
      <w:pPr>
        <w:autoSpaceDE w:val="0"/>
        <w:autoSpaceDN w:val="0"/>
        <w:adjustRightInd w:val="0"/>
        <w:jc w:val="center"/>
        <w:rPr>
          <w:rFonts w:ascii="楷体_GB2312" w:hAnsi="黑体" w:eastAsia="楷体_GB2312" w:cs="楷体_GB2312"/>
          <w:color w:val="000000"/>
          <w:kern w:val="0"/>
        </w:rPr>
      </w:pPr>
      <w:r>
        <w:rPr>
          <w:rFonts w:hint="eastAsia" w:ascii="楷体_GB2312" w:hAnsi="黑体" w:eastAsia="楷体_GB2312" w:cs="楷体_GB2312"/>
          <w:color w:val="000000"/>
          <w:kern w:val="0"/>
        </w:rPr>
        <w:t>（试行）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09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具有完善的议事决策、教学组织与管理、教研活动、听课评议、青年教师培养、教学督导、教学质量评价等管理制度，发展目标和年度计划明确具体、可操作性强。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坚持立德树人，自觉遵守《高等学校教师职业道德规范》，师德师风良好，获得有校级以上先进个人等荣誉；负责人具有高级职称，教学管理经验丰富，享有额外津贴或减免课时量；团队规模原则上30人以下，成员年龄、学历、职称、学缘结构合理；教师传帮带机制健全，新入职教师均经过20天以上系统培训并配有指导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教学事故；建立有教学评价和质量分析反馈机制；每学年教授为本上课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逐步构建课程思政体系，课程体系符合专业发展，有规范的课程建设规划、教学大纲和课程标准，课程内容及时更新，能将最新的学科前沿、产业发展、科研成果融入课堂教学；编写高质量教材和指导用书；建设有校级以上在线开放课程，信息化教学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承担有校级及以上教改项目，参与教师占比达到80%，获得校级以上教学成果奖；教师人均·学年发表教研论文达0.3篇；每2周开展1次集体教育教学研究活动；教师人均</w:t>
            </w:r>
            <w:r>
              <w:rPr>
                <w:rFonts w:hint="cs" w:ascii="仿宋_GB2312" w:hAnsi="宋体"/>
                <w:kern w:val="0"/>
                <w:sz w:val="21"/>
                <w:szCs w:val="21"/>
                <w:cs/>
              </w:rPr>
              <w:t>•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学年</w:t>
            </w:r>
            <w:r>
              <w:rPr>
                <w:rFonts w:ascii="仿宋_GB2312" w:hAnsi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次以上相互听课，每位专任教师每学年参加1次以上校外教学研讨会议。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制定或落实专业建设规划，定期修订完善人才培养方案，达到国家各专业类教学质量标准；建设有省级及以上一流专业或优势特色专业，专业评估位列前50%或通过专业认证；行业企业深度参与专业建设；课程类、实践类等基层教学组织充分发挥在专业评估、专业认证、专业建设中的重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科学制定实践教学方案，规范设置实践教学环节，高质量开展课内实践教学和校外实习实训，实验实训课程开课率及学生覆盖率高；创新创业教育改革成效显著。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设有专项经费，教师人均</w:t>
            </w:r>
            <w:r>
              <w:rPr>
                <w:rFonts w:hint="cs" w:ascii="仿宋_GB2312" w:hAnsi="宋体"/>
                <w:kern w:val="0"/>
                <w:sz w:val="21"/>
                <w:szCs w:val="21"/>
                <w:cs/>
              </w:rPr>
              <w:t>•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年度运行经费2000元以上，有固定的办公场所、教学资料档案室和相关办公设施，人均教学办公面积在3平方米以上。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</w:t>
            </w:r>
            <w:r>
              <w:rPr>
                <w:rFonts w:hint="eastAsia" w:ascii="仿宋_GB2312" w:hAnsi="宋体"/>
                <w:spacing w:val="-4"/>
                <w:kern w:val="0"/>
                <w:sz w:val="21"/>
                <w:szCs w:val="21"/>
              </w:rPr>
              <w:t>师评教优秀，在省级及以上教师讲课大赛成绩优异，指导学生在创新创业大赛、学科专业竞赛等赛项获得省级以上奖项或公开发表论文；毕业生就业质量高。</w:t>
            </w:r>
          </w:p>
        </w:tc>
      </w:tr>
    </w:tbl>
    <w:p>
      <w:pPr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30"/>
        <w:szCs w:val="30"/>
      </w:rPr>
    </w:pPr>
    <w:r>
      <w:rPr>
        <w:rStyle w:val="5"/>
        <w:rFonts w:hint="eastAsia" w:ascii="仿宋_GB2312" w:eastAsia="仿宋_GB2312"/>
        <w:sz w:val="30"/>
        <w:szCs w:val="30"/>
      </w:rPr>
      <w:t xml:space="preserve">— 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5"/>
        <w:rFonts w:hint="eastAsia" w:ascii="仿宋_GB2312" w:eastAsia="仿宋_GB2312"/>
        <w:sz w:val="30"/>
        <w:szCs w:val="30"/>
      </w:rPr>
      <w:instrText xml:space="preserve"> PAGE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5"/>
        <w:rFonts w:ascii="仿宋_GB2312" w:eastAsia="仿宋_GB2312"/>
        <w:sz w:val="30"/>
        <w:szCs w:val="30"/>
      </w:rPr>
      <w:t>2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Style w:val="5"/>
        <w:rFonts w:hint="eastAsia" w:ascii="仿宋_GB2312" w:eastAsia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A86BA8"/>
    <w:rsid w:val="7760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晓莉</cp:lastModifiedBy>
  <dcterms:modified xsi:type="dcterms:W3CDTF">2021-09-22T08:30:15Z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024AA47FB3F44D8B9D62CC0FF837191F</vt:lpwstr>
  </property>
</Properties>
</file>