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lang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4</w:t>
      </w:r>
    </w:p>
    <w:p>
      <w:pPr>
        <w:rPr>
          <w:rFonts w:ascii="黑体" w:eastAsia="黑体"/>
        </w:rPr>
      </w:pPr>
    </w:p>
    <w:p>
      <w:pPr>
        <w:autoSpaceDE w:val="0"/>
        <w:autoSpaceDN w:val="0"/>
        <w:adjustRightInd w:val="0"/>
        <w:snapToGrid w:val="0"/>
        <w:jc w:val="center"/>
        <w:rPr>
          <w:rFonts w:ascii="方正小标宋简体" w:hAnsi="黑体" w:eastAsia="方正小标宋简体" w:cs="楷体_GB2312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楷体_GB2312"/>
          <w:color w:val="000000"/>
          <w:kern w:val="0"/>
          <w:sz w:val="44"/>
          <w:szCs w:val="44"/>
        </w:rPr>
        <w:t>河南省高等学校优秀基层教学组织认定标准</w:t>
      </w:r>
    </w:p>
    <w:p>
      <w:pPr>
        <w:autoSpaceDE w:val="0"/>
        <w:autoSpaceDN w:val="0"/>
        <w:adjustRightInd w:val="0"/>
        <w:jc w:val="center"/>
        <w:rPr>
          <w:rFonts w:ascii="楷体_GB2312" w:hAnsi="黑体" w:eastAsia="楷体_GB2312" w:cs="楷体_GB2312"/>
          <w:color w:val="000000"/>
          <w:kern w:val="0"/>
        </w:rPr>
      </w:pPr>
      <w:r>
        <w:rPr>
          <w:rFonts w:hint="eastAsia" w:ascii="楷体_GB2312" w:hAnsi="黑体" w:eastAsia="楷体_GB2312" w:cs="楷体_GB2312"/>
          <w:color w:val="000000"/>
          <w:kern w:val="0"/>
        </w:rPr>
        <w:t>（试行）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709"/>
        <w:gridCol w:w="7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指标内涵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规章制度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具有完善的议事决策、教学组织与管理、教研活动、听课评议、青年教师培养、教学督导、教学质量评价等管理制</w:t>
            </w:r>
            <w:bookmarkStart w:id="0" w:name="_GoBack"/>
            <w:bookmarkEnd w:id="0"/>
            <w:r>
              <w:rPr>
                <w:rFonts w:hint="eastAsia" w:ascii="仿宋_GB2312" w:hAnsi="宋体"/>
                <w:kern w:val="0"/>
                <w:sz w:val="21"/>
                <w:szCs w:val="21"/>
              </w:rPr>
              <w:t>度，发展目标和年度计划明确具体、可操作性强。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队伍建设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坚持立德树人，自觉遵守《高等学校教师职业道德规范》，师德师风良好，获得有校级以上先进个人等荣誉；负责人具有高级职称，教学管理经验丰富，享有额外津贴或减免课时量；团队规模原则上30人以下，成员年龄、学历、职称、学缘结构合理；教师传帮带机制健全，新入职教师均经过20天以上系统培训并配有指导教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教学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组织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15分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根据人才培养方案和教学计划，组织落实备课、授课、课程设计、实验实习、考试考查、毕业论文或设计等教学环节各项任务，运行有序，档案资料齐全；课堂教学规范，教学纪律严格，连续2年无教学事故；建立有教学评价和质量分析反馈机制；每学年教授为本上课率100%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课程教材建设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逐步构建课程思政体系，课程体系符合专业发展，有规范的课程建设规划、教学大纲和课程标准，课程内容及时更新，能将最新的学科前沿、产业发展、科研成果融入课堂教学；编写高质量教材和指导用书；建设有校级以上在线开放课程，信息化教学资源丰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教学研究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15分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承担有校级及以上教改项目，参与教师占比达到80%，获得校级以上教学成果奖；教师人均·学年发表教研论文达0.3篇；每2周开展1次集体教育教学研究活动；教师人均</w:t>
            </w:r>
            <w:r>
              <w:rPr>
                <w:rFonts w:hint="cs" w:ascii="仿宋_GB2312" w:hAnsi="宋体"/>
                <w:kern w:val="0"/>
                <w:sz w:val="21"/>
                <w:szCs w:val="21"/>
                <w:cs/>
              </w:rPr>
              <w:t>•</w:t>
            </w: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学年</w:t>
            </w:r>
            <w:r>
              <w:rPr>
                <w:rFonts w:ascii="仿宋_GB2312" w:hAnsi="宋体"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次以上相互听课，每位专任教师每学年参加1次以上校外教学研讨会议。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专业建设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制定或落实专业建设规划，定期修订完善人才培养方案，达到国家各专业类教学质量标准；建设有省级及以上一流专业或优势特色专业，专业评估位列前50%或通过专业认证；行业企业深度参与专业建设；课程类、实践类等基层教学组织充分发挥在专业评估、专业认证、专业建设中的重要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实践教学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科学制定实践教学方案，规范设置实践教学环节，高质量开展课内实践教学和校外实习实训，实验实训课程开课率及学生覆盖率高；创新创业教育改革成效显著。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条件保障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设有专项经费，教师人均</w:t>
            </w:r>
            <w:r>
              <w:rPr>
                <w:rFonts w:hint="cs" w:ascii="仿宋_GB2312" w:hAnsi="宋体"/>
                <w:kern w:val="0"/>
                <w:sz w:val="21"/>
                <w:szCs w:val="21"/>
                <w:cs/>
              </w:rPr>
              <w:t>•</w:t>
            </w: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年度运行经费2000元以上，有固定的办公场所、教学资料档案室和相关办公设施，人均教学办公面积在3平方米以上。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人才培养能力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教师评教优秀，在省级及以上教师讲课大赛成绩优异，指导学生在创新创业大赛、学科专业竞赛等赛项获得省级以上奖项或公开发表论文；毕业生就业质量高。</w:t>
            </w:r>
          </w:p>
        </w:tc>
      </w:tr>
    </w:tbl>
    <w:p/>
    <w:sectPr>
      <w:footerReference r:id="rId3" w:type="default"/>
      <w:pgSz w:w="11906" w:h="16838"/>
      <w:pgMar w:top="1440" w:right="1587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仿宋_GB2312" w:eastAsia="仿宋_GB2312"/>
        <w:sz w:val="30"/>
        <w:szCs w:val="30"/>
      </w:rPr>
    </w:pPr>
    <w:r>
      <w:rPr>
        <w:rStyle w:val="5"/>
        <w:rFonts w:hint="eastAsia" w:ascii="仿宋_GB2312" w:eastAsia="仿宋_GB2312"/>
        <w:sz w:val="30"/>
        <w:szCs w:val="30"/>
      </w:rPr>
      <w:t xml:space="preserve">— </w:t>
    </w:r>
    <w:r>
      <w:rPr>
        <w:rFonts w:hint="eastAsia" w:ascii="仿宋_GB2312" w:eastAsia="仿宋_GB2312"/>
        <w:sz w:val="30"/>
        <w:szCs w:val="30"/>
      </w:rPr>
      <w:fldChar w:fldCharType="begin"/>
    </w:r>
    <w:r>
      <w:rPr>
        <w:rStyle w:val="5"/>
        <w:rFonts w:hint="eastAsia" w:ascii="仿宋_GB2312" w:eastAsia="仿宋_GB2312"/>
        <w:sz w:val="30"/>
        <w:szCs w:val="30"/>
      </w:rPr>
      <w:instrText xml:space="preserve"> PAGE </w:instrText>
    </w:r>
    <w:r>
      <w:rPr>
        <w:rFonts w:hint="eastAsia" w:ascii="仿宋_GB2312" w:eastAsia="仿宋_GB2312"/>
        <w:sz w:val="30"/>
        <w:szCs w:val="30"/>
      </w:rPr>
      <w:fldChar w:fldCharType="separate"/>
    </w:r>
    <w:r>
      <w:rPr>
        <w:rStyle w:val="5"/>
        <w:rFonts w:ascii="仿宋_GB2312" w:eastAsia="仿宋_GB2312"/>
        <w:sz w:val="30"/>
        <w:szCs w:val="30"/>
      </w:rPr>
      <w:t>3</w:t>
    </w:r>
    <w:r>
      <w:rPr>
        <w:rFonts w:hint="eastAsia" w:ascii="仿宋_GB2312" w:eastAsia="仿宋_GB2312"/>
        <w:sz w:val="30"/>
        <w:szCs w:val="30"/>
      </w:rPr>
      <w:fldChar w:fldCharType="end"/>
    </w:r>
    <w:r>
      <w:rPr>
        <w:rStyle w:val="5"/>
        <w:rFonts w:hint="eastAsia" w:ascii="仿宋_GB2312" w:eastAsia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A4C0C"/>
    <w:rsid w:val="076D67F4"/>
    <w:rsid w:val="31B767E9"/>
    <w:rsid w:val="3A9A4C0C"/>
    <w:rsid w:val="60BA3A0A"/>
    <w:rsid w:val="7764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2020-06-05T08:01:00Z</dcterms:created>
  <dc:creator>晓莉</dc:creator>
  <cp:lastModifiedBy>晓莉</cp:lastModifiedBy>
  <dcterms:modified xsi:type="dcterms:W3CDTF">2020-06-05T08:09:05Z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