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黑体"/>
          <w:color w:val="000000"/>
          <w:kern w:val="0"/>
          <w:sz w:val="32"/>
        </w:rPr>
      </w:pPr>
      <w:r>
        <w:rPr>
          <w:rFonts w:eastAsia="黑体"/>
          <w:color w:val="000000"/>
          <w:kern w:val="0"/>
          <w:sz w:val="32"/>
        </w:rPr>
        <w:t>附件</w:t>
      </w:r>
      <w:r>
        <w:rPr>
          <w:rFonts w:hint="eastAsia" w:eastAsia="黑体"/>
          <w:color w:val="000000"/>
          <w:kern w:val="0"/>
          <w:sz w:val="32"/>
        </w:rPr>
        <w:t>1</w:t>
      </w:r>
    </w:p>
    <w:p>
      <w:pPr>
        <w:adjustRightInd w:val="0"/>
        <w:snapToGrid w:val="0"/>
        <w:spacing w:line="560" w:lineRule="exact"/>
        <w:jc w:val="right"/>
        <w:rPr>
          <w:rFonts w:eastAsia="仿宋_GB2312"/>
          <w:color w:val="000000"/>
          <w:kern w:val="0"/>
          <w:sz w:val="32"/>
        </w:rPr>
      </w:pPr>
    </w:p>
    <w:p>
      <w:pPr>
        <w:adjustRightInd w:val="0"/>
        <w:snapToGrid w:val="0"/>
        <w:spacing w:line="560" w:lineRule="exact"/>
        <w:jc w:val="center"/>
        <w:rPr>
          <w:rFonts w:eastAsia="方正小标宋简体"/>
          <w:bCs/>
          <w:kern w:val="0"/>
          <w:sz w:val="44"/>
          <w:szCs w:val="44"/>
        </w:rPr>
      </w:pPr>
      <w:r>
        <w:rPr>
          <w:rFonts w:eastAsia="方正小标宋简体"/>
          <w:bCs/>
          <w:kern w:val="0"/>
          <w:sz w:val="44"/>
          <w:szCs w:val="44"/>
        </w:rPr>
        <w:t>河南农业大学年度教学质量考评办法</w:t>
      </w:r>
    </w:p>
    <w:p>
      <w:pPr>
        <w:adjustRightInd w:val="0"/>
        <w:snapToGrid w:val="0"/>
        <w:spacing w:line="560" w:lineRule="exact"/>
        <w:jc w:val="center"/>
        <w:rPr>
          <w:rFonts w:eastAsia="楷体_GB2312"/>
          <w:bCs/>
          <w:kern w:val="0"/>
          <w:sz w:val="32"/>
          <w:szCs w:val="32"/>
        </w:rPr>
      </w:pPr>
      <w:r>
        <w:rPr>
          <w:rFonts w:eastAsia="楷体_GB2312"/>
          <w:bCs/>
          <w:kern w:val="0"/>
          <w:sz w:val="32"/>
          <w:szCs w:val="32"/>
        </w:rPr>
        <w:t>（试行）</w:t>
      </w:r>
    </w:p>
    <w:p>
      <w:pPr>
        <w:widowControl/>
        <w:shd w:val="clear" w:color="auto" w:fill="FFFFFF"/>
        <w:adjustRightInd w:val="0"/>
        <w:snapToGrid w:val="0"/>
        <w:spacing w:line="560" w:lineRule="exact"/>
        <w:ind w:firstLine="560" w:firstLineChars="200"/>
        <w:jc w:val="left"/>
        <w:rPr>
          <w:color w:val="000000"/>
          <w:kern w:val="0"/>
          <w:sz w:val="28"/>
          <w:szCs w:val="28"/>
        </w:rPr>
      </w:pPr>
    </w:p>
    <w:p>
      <w:pPr>
        <w:adjustRightInd w:val="0"/>
        <w:snapToGrid w:val="0"/>
        <w:spacing w:line="560" w:lineRule="exact"/>
        <w:ind w:firstLine="640" w:firstLineChars="200"/>
        <w:rPr>
          <w:rFonts w:eastAsia="仿宋_GB2312"/>
          <w:color w:val="000000"/>
          <w:kern w:val="0"/>
          <w:sz w:val="32"/>
          <w:szCs w:val="28"/>
        </w:rPr>
      </w:pPr>
      <w:r>
        <w:rPr>
          <w:rFonts w:eastAsia="仿宋_GB2312"/>
          <w:color w:val="000000"/>
          <w:kern w:val="0"/>
          <w:sz w:val="32"/>
          <w:szCs w:val="28"/>
        </w:rPr>
        <w:t>为充分调动广大教师教书育人的积极性和创造性，推进教学质量考核的规范化、制度化和科学化，全面提升人才培养质量，根据《教育部关于深化高校教师考核评价制度改革的指导意见》（教师〔2016〕7号），结合我校工作实际，制订本办法。</w:t>
      </w:r>
    </w:p>
    <w:p>
      <w:pPr>
        <w:adjustRightInd w:val="0"/>
        <w:snapToGrid w:val="0"/>
        <w:spacing w:line="560" w:lineRule="exact"/>
        <w:ind w:firstLine="640" w:firstLineChars="200"/>
        <w:rPr>
          <w:rFonts w:eastAsia="黑体"/>
          <w:bCs/>
          <w:color w:val="000000"/>
          <w:kern w:val="0"/>
          <w:sz w:val="32"/>
          <w:szCs w:val="28"/>
        </w:rPr>
      </w:pPr>
      <w:r>
        <w:rPr>
          <w:rFonts w:eastAsia="黑体"/>
          <w:bCs/>
          <w:color w:val="000000"/>
          <w:kern w:val="0"/>
          <w:sz w:val="32"/>
          <w:szCs w:val="28"/>
        </w:rPr>
        <w:t>第一条  考核原则</w:t>
      </w:r>
    </w:p>
    <w:p>
      <w:pPr>
        <w:adjustRightInd w:val="0"/>
        <w:snapToGrid w:val="0"/>
        <w:spacing w:line="560" w:lineRule="exact"/>
        <w:ind w:firstLine="640" w:firstLineChars="200"/>
        <w:rPr>
          <w:rFonts w:eastAsia="仿宋_GB2312"/>
          <w:color w:val="000000"/>
          <w:kern w:val="0"/>
          <w:sz w:val="32"/>
          <w:szCs w:val="28"/>
        </w:rPr>
      </w:pPr>
      <w:r>
        <w:rPr>
          <w:rFonts w:eastAsia="仿宋_GB2312"/>
          <w:color w:val="000000"/>
          <w:kern w:val="0"/>
          <w:sz w:val="32"/>
          <w:szCs w:val="28"/>
        </w:rPr>
        <w:t>教学质量考评坚持公平、公开和公正的原则；坚持教学工作质与量相结合的原则；坚持全面考核与突出重点相结合的原则；坚持有利于学生培养与提高教学质量相结合的原则；坚持定量考核与定性考核相结合的原则；坚持日常考核与学期学年考核相结合的原则。坚持教师自评、学生评价、同行评价和督导评价等多种形式相结合的原则。</w:t>
      </w:r>
    </w:p>
    <w:p>
      <w:pPr>
        <w:adjustRightInd w:val="0"/>
        <w:snapToGrid w:val="0"/>
        <w:spacing w:line="560" w:lineRule="exact"/>
        <w:ind w:firstLine="640" w:firstLineChars="200"/>
        <w:rPr>
          <w:rFonts w:eastAsia="黑体"/>
          <w:bCs/>
          <w:color w:val="000000"/>
          <w:kern w:val="0"/>
          <w:sz w:val="32"/>
          <w:szCs w:val="28"/>
        </w:rPr>
      </w:pPr>
      <w:r>
        <w:rPr>
          <w:rFonts w:eastAsia="黑体"/>
          <w:bCs/>
          <w:color w:val="000000"/>
          <w:kern w:val="0"/>
          <w:sz w:val="32"/>
          <w:szCs w:val="28"/>
        </w:rPr>
        <w:t>第二条  考评组织</w:t>
      </w:r>
    </w:p>
    <w:p>
      <w:pPr>
        <w:adjustRightInd w:val="0"/>
        <w:snapToGrid w:val="0"/>
        <w:spacing w:line="560" w:lineRule="exact"/>
        <w:ind w:firstLine="640" w:firstLineChars="200"/>
        <w:rPr>
          <w:rFonts w:eastAsia="仿宋_GB2312"/>
          <w:color w:val="000000"/>
          <w:kern w:val="0"/>
          <w:sz w:val="32"/>
          <w:szCs w:val="28"/>
        </w:rPr>
      </w:pPr>
      <w:r>
        <w:rPr>
          <w:rFonts w:eastAsia="仿宋_GB2312"/>
          <w:color w:val="000000"/>
          <w:kern w:val="0"/>
          <w:sz w:val="32"/>
          <w:szCs w:val="28"/>
        </w:rPr>
        <w:t>学校成立年度教学质量考评领导小组，由分管教学副校长任组长，发展规划处、人事处、教务处和学生处等相关部门负责人为成员，教务处具体负责组织实施。</w:t>
      </w:r>
    </w:p>
    <w:p>
      <w:pPr>
        <w:adjustRightInd w:val="0"/>
        <w:snapToGrid w:val="0"/>
        <w:spacing w:line="560" w:lineRule="exact"/>
        <w:ind w:firstLine="640" w:firstLineChars="200"/>
        <w:rPr>
          <w:rFonts w:eastAsia="仿宋_GB2312"/>
          <w:color w:val="000000"/>
          <w:kern w:val="0"/>
          <w:sz w:val="32"/>
          <w:szCs w:val="28"/>
        </w:rPr>
      </w:pPr>
      <w:r>
        <w:rPr>
          <w:rFonts w:eastAsia="仿宋_GB2312"/>
          <w:color w:val="000000"/>
          <w:kern w:val="0"/>
          <w:sz w:val="32"/>
          <w:szCs w:val="28"/>
        </w:rPr>
        <w:t>各学院及课程承担单位成立年度教学质量考评领导小组，负责本单位年度教学质量考评工作。</w:t>
      </w:r>
    </w:p>
    <w:p>
      <w:pPr>
        <w:adjustRightInd w:val="0"/>
        <w:snapToGrid w:val="0"/>
        <w:spacing w:line="560" w:lineRule="exact"/>
        <w:ind w:firstLine="640" w:firstLineChars="200"/>
        <w:rPr>
          <w:rFonts w:eastAsia="黑体"/>
          <w:bCs/>
          <w:color w:val="000000"/>
          <w:kern w:val="0"/>
          <w:sz w:val="32"/>
          <w:szCs w:val="28"/>
        </w:rPr>
      </w:pPr>
      <w:r>
        <w:rPr>
          <w:rFonts w:eastAsia="黑体"/>
          <w:bCs/>
          <w:color w:val="000000"/>
          <w:kern w:val="0"/>
          <w:sz w:val="32"/>
          <w:szCs w:val="28"/>
        </w:rPr>
        <w:t>第三条  考评对象和内容</w:t>
      </w:r>
    </w:p>
    <w:p>
      <w:pPr>
        <w:adjustRightInd w:val="0"/>
        <w:snapToGrid w:val="0"/>
        <w:spacing w:line="560" w:lineRule="exact"/>
        <w:ind w:firstLine="640" w:firstLineChars="200"/>
        <w:rPr>
          <w:rFonts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(一)考评对象</w:t>
      </w:r>
    </w:p>
    <w:p>
      <w:pPr>
        <w:adjustRightInd w:val="0"/>
        <w:snapToGrid w:val="0"/>
        <w:spacing w:line="560" w:lineRule="exact"/>
        <w:ind w:firstLine="640" w:firstLineChars="200"/>
        <w:rPr>
          <w:rFonts w:eastAsia="仿宋_GB2312"/>
          <w:color w:val="000000"/>
          <w:kern w:val="0"/>
          <w:sz w:val="32"/>
          <w:szCs w:val="28"/>
        </w:rPr>
      </w:pPr>
      <w:r>
        <w:rPr>
          <w:rFonts w:eastAsia="仿宋_GB2312"/>
          <w:color w:val="000000"/>
          <w:kern w:val="0"/>
          <w:sz w:val="32"/>
          <w:szCs w:val="28"/>
        </w:rPr>
        <w:t>我校所有在岗在编任课教师、实验室工作人员。</w:t>
      </w:r>
    </w:p>
    <w:p>
      <w:pPr>
        <w:adjustRightInd w:val="0"/>
        <w:snapToGrid w:val="0"/>
        <w:spacing w:line="560" w:lineRule="exact"/>
        <w:ind w:firstLine="640" w:firstLineChars="200"/>
        <w:rPr>
          <w:rFonts w:eastAsia="仿宋_GB2312"/>
          <w:color w:val="000000"/>
          <w:kern w:val="0"/>
          <w:sz w:val="32"/>
          <w:szCs w:val="28"/>
        </w:rPr>
      </w:pPr>
      <w:r>
        <w:rPr>
          <w:rFonts w:eastAsia="仿宋_GB2312"/>
          <w:color w:val="000000"/>
          <w:kern w:val="0"/>
          <w:sz w:val="32"/>
          <w:szCs w:val="28"/>
        </w:rPr>
        <w:t>依据学校相关规定，外出进修学习时间超过半年者，留学归国人员及新进教师等在校教学岗位工作未满一年者，不参加本年度的教学质量考评。</w:t>
      </w:r>
    </w:p>
    <w:p>
      <w:pPr>
        <w:adjustRightInd w:val="0"/>
        <w:snapToGrid w:val="0"/>
        <w:spacing w:line="560" w:lineRule="exact"/>
        <w:ind w:firstLine="640" w:firstLineChars="200"/>
        <w:rPr>
          <w:rFonts w:eastAsia="仿宋_GB2312"/>
          <w:color w:val="000000"/>
          <w:kern w:val="0"/>
          <w:sz w:val="32"/>
          <w:szCs w:val="28"/>
        </w:rPr>
      </w:pPr>
      <w:r>
        <w:rPr>
          <w:rFonts w:eastAsia="仿宋_GB2312"/>
          <w:color w:val="000000"/>
          <w:kern w:val="0"/>
          <w:sz w:val="32"/>
          <w:szCs w:val="28"/>
        </w:rPr>
        <w:t>（二）考评内容</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年度教学质量考评，主要从教学态度、教学方法、教学效果、教书育人、教学研究等多个方面对被评对象在</w:t>
      </w:r>
      <w:r>
        <w:rPr>
          <w:rFonts w:hint="eastAsia" w:eastAsia="仿宋_GB2312"/>
          <w:color w:val="000000"/>
          <w:kern w:val="0"/>
          <w:sz w:val="32"/>
          <w:szCs w:val="28"/>
        </w:rPr>
        <w:t>本年度内</w:t>
      </w:r>
      <w:r>
        <w:rPr>
          <w:rFonts w:eastAsia="仿宋_GB2312"/>
          <w:color w:val="000000"/>
          <w:kern w:val="0"/>
          <w:sz w:val="32"/>
          <w:szCs w:val="28"/>
        </w:rPr>
        <w:t>的教学业绩做出全面的评价。</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每年考评1次，考评工作在当年12月底之前完成。</w:t>
      </w:r>
    </w:p>
    <w:p>
      <w:pPr>
        <w:adjustRightInd w:val="0"/>
        <w:snapToGrid w:val="0"/>
        <w:spacing w:line="580" w:lineRule="exact"/>
        <w:ind w:firstLine="640" w:firstLineChars="200"/>
        <w:rPr>
          <w:rFonts w:eastAsia="黑体"/>
          <w:bCs/>
          <w:color w:val="000000"/>
          <w:kern w:val="0"/>
          <w:sz w:val="32"/>
          <w:szCs w:val="28"/>
        </w:rPr>
      </w:pPr>
      <w:r>
        <w:rPr>
          <w:rFonts w:eastAsia="黑体"/>
          <w:bCs/>
          <w:color w:val="000000"/>
          <w:kern w:val="0"/>
          <w:sz w:val="32"/>
          <w:szCs w:val="28"/>
        </w:rPr>
        <w:t>第四条  考评程序</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年度教学质量考评分为学生评教、同行评价、个人自评、学院评定和学校复核、学校公示等六个步骤。</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（一）学生评教</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每年的5月和11月，组织学生开展网上评教活动。学生评教由被评议教师授课班级的全体学生通过教务管理系统对授课教师的教学态度、教学过程、教学水平以及教学效果进行打分，并对教师的授课情况提出自己的意见和建议，以利于授课教师对自己的授课质量进行改进和提高。</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（二）同行评价</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同行评教由各学院组织开展,以系或实验中心为单位，结合被评估对象的教学态度、教学方法和教学效果进行综合评议。</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（三）个人自评</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每年的12月上旬，参评教师逐项填写年度教学质量考评量化表，交系或实验室中心主任审核签字后，并随同有关材料报送所在</w:t>
      </w:r>
      <w:r>
        <w:rPr>
          <w:rFonts w:hint="eastAsia" w:eastAsia="仿宋_GB2312"/>
          <w:color w:val="000000"/>
          <w:kern w:val="0"/>
          <w:sz w:val="32"/>
          <w:szCs w:val="28"/>
        </w:rPr>
        <w:t>学</w:t>
      </w:r>
      <w:r>
        <w:rPr>
          <w:rFonts w:eastAsia="仿宋_GB2312"/>
          <w:color w:val="000000"/>
          <w:kern w:val="0"/>
          <w:sz w:val="32"/>
          <w:szCs w:val="28"/>
        </w:rPr>
        <w:t>院，参加集中评定。</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（四）学院评定</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在个人自评、系或实验中心初审的基础上，学院年度教学质量考评小组参考随堂听课、教学抽查、材料审查等多种方式对被评对象年度内的教学进行量化综合考评，给出考评结果。</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各学院按不超过参评人数的30%确定考评优秀等级，并将考评结果在全院进行公示，公示时间不少于3天。公示无异议后，院长签字并加盖学院公章报送教务处。</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（五）学校复核</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学校年度教学质量考评领导小组对年度教学质量考评结果进行复核，重点对各单位考评中定为优秀的人员进行复核。</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（六）学校公示</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对汇总复核后的信息进行校内公示，公示时间不少于3天。</w:t>
      </w:r>
    </w:p>
    <w:p>
      <w:pPr>
        <w:adjustRightInd w:val="0"/>
        <w:snapToGrid w:val="0"/>
        <w:spacing w:line="580" w:lineRule="exact"/>
        <w:ind w:firstLine="640" w:firstLineChars="200"/>
        <w:rPr>
          <w:rFonts w:eastAsia="仿宋_GB2312"/>
          <w:b/>
          <w:color w:val="000000"/>
          <w:kern w:val="0"/>
          <w:sz w:val="32"/>
          <w:szCs w:val="28"/>
        </w:rPr>
      </w:pPr>
      <w:r>
        <w:rPr>
          <w:rFonts w:eastAsia="黑体"/>
          <w:bCs/>
          <w:color w:val="000000"/>
          <w:kern w:val="0"/>
          <w:sz w:val="32"/>
          <w:szCs w:val="28"/>
        </w:rPr>
        <w:t>第五条  考评指标体系</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（一）教师考评指标体系</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教师的教学量化综合考评体系由基本项和奖励项组成，具体包括教学态度与效果、教学方法与手段、教学内容与教育思想、教学档案、教学质量工程项目与教材建设、教学研究与教学成果奖励等6项组成。具体量化指标体系见附件2。</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（二）实验室工作人员考评指标体系</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实验室工作人员考评的指标体系由基本项和奖励项组成，具体包括工作态度及效果、实验教学、实验室管理、实验室建设、教学评价、论文教材、成果项目、获得荣誉等8项组成。具体量化指标体系见附件3。</w:t>
      </w:r>
    </w:p>
    <w:p>
      <w:pPr>
        <w:adjustRightInd w:val="0"/>
        <w:snapToGrid w:val="0"/>
        <w:spacing w:line="580" w:lineRule="exact"/>
        <w:ind w:firstLine="640" w:firstLineChars="200"/>
        <w:rPr>
          <w:rFonts w:eastAsia="黑体"/>
          <w:bCs/>
          <w:color w:val="000000"/>
          <w:kern w:val="0"/>
          <w:sz w:val="32"/>
          <w:szCs w:val="28"/>
        </w:rPr>
      </w:pPr>
      <w:r>
        <w:rPr>
          <w:rFonts w:eastAsia="黑体"/>
          <w:bCs/>
          <w:color w:val="000000"/>
          <w:kern w:val="0"/>
          <w:sz w:val="32"/>
          <w:szCs w:val="28"/>
        </w:rPr>
        <w:t>第六条  考评等级</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（一）考评等级</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考评结果分为优秀、良好、合格、不合格四个等级。优秀比</w:t>
      </w:r>
      <w:r>
        <w:rPr>
          <w:rFonts w:eastAsia="仿宋_GB2312"/>
          <w:color w:val="000000"/>
          <w:spacing w:val="-6"/>
          <w:kern w:val="0"/>
          <w:sz w:val="32"/>
          <w:szCs w:val="28"/>
        </w:rPr>
        <w:t>例不超过参评人数的30%，总评成绩低于60分的考评结果为不合格。</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（二）教师和实验室参评人员在本年度出现重大教学事故或严重教学事故的，年度教学质量考评为不合格。</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三）教师和实验室参评人员在本年度出现一般教学事故；或非特殊原因（如公派出国访学、脱产进修、支边支教、扶贫开发及个人健康状况等）且未经审核批准的，没有为本科生讲授一门课程的，年度教学质量考评不能为优秀。</w:t>
      </w:r>
    </w:p>
    <w:p>
      <w:pPr>
        <w:adjustRightInd w:val="0"/>
        <w:snapToGrid w:val="0"/>
        <w:spacing w:line="580" w:lineRule="exact"/>
        <w:ind w:firstLine="640" w:firstLineChars="200"/>
        <w:rPr>
          <w:rFonts w:eastAsia="黑体"/>
          <w:bCs/>
          <w:color w:val="000000"/>
          <w:kern w:val="0"/>
          <w:sz w:val="32"/>
          <w:szCs w:val="28"/>
        </w:rPr>
      </w:pPr>
      <w:r>
        <w:rPr>
          <w:rFonts w:eastAsia="黑体"/>
          <w:bCs/>
          <w:color w:val="000000"/>
          <w:kern w:val="0"/>
          <w:sz w:val="32"/>
          <w:szCs w:val="28"/>
        </w:rPr>
        <w:t>第七条  其他</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（一）凡因本人原因没有进行年度教学质量考评的，校教学考评领导小组不出具本人职称评审的教学考评结果，责任自负。</w:t>
      </w:r>
    </w:p>
    <w:p>
      <w:pPr>
        <w:adjustRightInd w:val="0"/>
        <w:snapToGrid w:val="0"/>
        <w:spacing w:line="580" w:lineRule="exact"/>
        <w:ind w:firstLine="640" w:firstLineChars="200"/>
        <w:rPr>
          <w:rFonts w:eastAsia="仿宋_GB2312"/>
          <w:color w:val="000000"/>
          <w:kern w:val="0"/>
          <w:sz w:val="32"/>
          <w:szCs w:val="28"/>
        </w:rPr>
      </w:pPr>
      <w:r>
        <w:rPr>
          <w:rFonts w:eastAsia="仿宋_GB2312"/>
          <w:color w:val="000000"/>
          <w:kern w:val="0"/>
          <w:sz w:val="32"/>
          <w:szCs w:val="28"/>
        </w:rPr>
        <w:t>（二）由学生处承担的课程，其任课教师的教学质量考评工作由学生处单独负责组织开展，具体程序可参照此办法执行。</w:t>
      </w:r>
    </w:p>
    <w:p>
      <w:pPr>
        <w:adjustRightInd w:val="0"/>
        <w:snapToGrid w:val="0"/>
        <w:spacing w:line="580" w:lineRule="exact"/>
        <w:rPr>
          <w:rFonts w:eastAsia="仿宋_GB2312"/>
          <w:color w:val="000000"/>
          <w:spacing w:val="-9"/>
          <w:kern w:val="0"/>
          <w:sz w:val="32"/>
          <w:szCs w:val="28"/>
        </w:rPr>
      </w:pPr>
      <w:r>
        <w:rPr>
          <w:rFonts w:eastAsia="仿宋_GB2312"/>
          <w:color w:val="000000"/>
          <w:kern w:val="0"/>
          <w:sz w:val="32"/>
          <w:szCs w:val="28"/>
        </w:rPr>
        <w:t xml:space="preserve">  </w:t>
      </w:r>
      <w:r>
        <w:rPr>
          <w:rFonts w:hint="eastAsia" w:eastAsia="仿宋_GB2312"/>
          <w:color w:val="000000"/>
          <w:kern w:val="0"/>
          <w:sz w:val="32"/>
          <w:szCs w:val="28"/>
        </w:rPr>
        <w:t xml:space="preserve">  </w:t>
      </w:r>
      <w:r>
        <w:rPr>
          <w:rFonts w:eastAsia="仿宋_GB2312"/>
          <w:color w:val="000000"/>
          <w:kern w:val="0"/>
          <w:sz w:val="32"/>
          <w:szCs w:val="28"/>
        </w:rPr>
        <w:t>（三）</w:t>
      </w:r>
      <w:r>
        <w:rPr>
          <w:rFonts w:eastAsia="仿宋_GB2312"/>
          <w:color w:val="000000"/>
          <w:spacing w:val="-9"/>
          <w:kern w:val="0"/>
          <w:sz w:val="32"/>
          <w:szCs w:val="28"/>
        </w:rPr>
        <w:t>所有支撑材料的有效时间为当年的1月1日至12月31日。</w:t>
      </w:r>
    </w:p>
    <w:p>
      <w:pPr>
        <w:adjustRightInd w:val="0"/>
        <w:snapToGrid w:val="0"/>
        <w:spacing w:line="580" w:lineRule="exact"/>
        <w:ind w:firstLine="640" w:firstLineChars="200"/>
        <w:rPr>
          <w:rFonts w:ascii="黑体" w:hAnsi="黑体" w:eastAsia="黑体" w:cs="黑体"/>
          <w:bCs/>
          <w:color w:val="000000"/>
          <w:kern w:val="0"/>
          <w:sz w:val="32"/>
          <w:szCs w:val="28"/>
        </w:rPr>
      </w:pPr>
      <w:r>
        <w:rPr>
          <w:rFonts w:eastAsia="黑体"/>
          <w:bCs/>
          <w:color w:val="000000"/>
          <w:kern w:val="0"/>
          <w:sz w:val="32"/>
          <w:szCs w:val="28"/>
        </w:rPr>
        <w:t>第八条  本办法由教务处负责解释。</w:t>
      </w:r>
    </w:p>
    <w:p>
      <w:pPr>
        <w:adjustRightInd w:val="0"/>
        <w:snapToGrid w:val="0"/>
        <w:spacing w:line="560" w:lineRule="exact"/>
        <w:ind w:firstLine="640" w:firstLineChars="200"/>
        <w:rPr>
          <w:rFonts w:ascii="仿宋_GB2312" w:hAnsi="宋体" w:eastAsia="仿宋_GB2312" w:cs="宋体"/>
          <w:color w:val="000000"/>
          <w:kern w:val="0"/>
          <w:sz w:val="32"/>
          <w:szCs w:val="28"/>
        </w:rPr>
      </w:pPr>
    </w:p>
    <w:p>
      <w:pPr>
        <w:adjustRightInd w:val="0"/>
        <w:snapToGrid w:val="0"/>
        <w:spacing w:line="560" w:lineRule="exact"/>
        <w:ind w:firstLine="640" w:firstLineChars="200"/>
        <w:rPr>
          <w:rFonts w:ascii="仿宋_GB2312" w:hAnsi="宋体" w:eastAsia="仿宋_GB2312" w:cs="宋体"/>
          <w:color w:val="000000"/>
          <w:kern w:val="0"/>
          <w:sz w:val="32"/>
          <w:szCs w:val="28"/>
        </w:rPr>
      </w:pPr>
    </w:p>
    <w:p>
      <w:pPr>
        <w:adjustRightInd w:val="0"/>
        <w:snapToGrid w:val="0"/>
        <w:spacing w:line="560" w:lineRule="exact"/>
        <w:ind w:firstLine="640" w:firstLineChars="200"/>
        <w:rPr>
          <w:rFonts w:ascii="仿宋_GB2312" w:hAnsi="宋体" w:eastAsia="仿宋_GB2312" w:cs="宋体"/>
          <w:color w:val="000000"/>
          <w:kern w:val="0"/>
          <w:sz w:val="32"/>
          <w:szCs w:val="28"/>
        </w:rPr>
        <w:sectPr>
          <w:footerReference r:id="rId3" w:type="default"/>
          <w:type w:val="continuous"/>
          <w:pgSz w:w="11900" w:h="16840"/>
          <w:pgMar w:top="1701" w:right="1417" w:bottom="1134" w:left="1417" w:header="720" w:footer="1134" w:gutter="0"/>
          <w:cols w:space="0" w:num="1"/>
          <w:docGrid w:linePitch="286" w:charSpace="0"/>
        </w:sectPr>
      </w:pPr>
    </w:p>
    <w:p>
      <w:pPr>
        <w:spacing w:line="38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500" w:lineRule="exact"/>
        <w:ind w:left="-4498" w:leftChars="-2142" w:firstLine="7072" w:firstLineChars="1601"/>
        <w:jc w:val="center"/>
        <w:rPr>
          <w:rFonts w:ascii="宋体" w:hAnsi="宋体" w:cs="宋体"/>
          <w:b/>
          <w:color w:val="000000"/>
          <w:sz w:val="44"/>
          <w:szCs w:val="44"/>
        </w:rPr>
      </w:pPr>
    </w:p>
    <w:p>
      <w:pPr>
        <w:spacing w:line="5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河南农业大学教师年度教学质量考评评定量化表</w:t>
      </w:r>
    </w:p>
    <w:p>
      <w:pPr>
        <w:spacing w:line="240" w:lineRule="exact"/>
        <w:jc w:val="center"/>
        <w:rPr>
          <w:rFonts w:ascii="方正小标宋简体" w:hAnsi="方正小标宋简体" w:eastAsia="方正小标宋简体" w:cs="方正小标宋简体"/>
          <w:bCs/>
          <w:color w:val="000000"/>
          <w:sz w:val="44"/>
          <w:szCs w:val="44"/>
        </w:rPr>
      </w:pPr>
    </w:p>
    <w:p>
      <w:pPr>
        <w:ind w:left="-735" w:leftChars="-350" w:firstLine="1200" w:firstLineChars="500"/>
        <w:rPr>
          <w:color w:val="000000"/>
          <w:sz w:val="24"/>
        </w:rPr>
      </w:pPr>
      <w:r>
        <w:rPr>
          <w:rFonts w:hint="eastAsia" w:ascii="宋体" w:hAnsi="宋体" w:cs="宋体"/>
          <w:color w:val="000000"/>
          <w:sz w:val="24"/>
        </w:rPr>
        <w:t>学院：</w:t>
      </w:r>
      <w:r>
        <w:rPr>
          <w:rFonts w:hint="eastAsia"/>
          <w:color w:val="000000"/>
          <w:sz w:val="24"/>
        </w:rPr>
        <w:t xml:space="preserve">                           </w:t>
      </w:r>
      <w:r>
        <w:rPr>
          <w:rFonts w:hint="eastAsia" w:ascii="宋体" w:hAnsi="宋体" w:cs="宋体"/>
          <w:color w:val="000000"/>
          <w:sz w:val="24"/>
        </w:rPr>
        <w:t>姓名：</w:t>
      </w:r>
      <w:r>
        <w:rPr>
          <w:rFonts w:hint="eastAsia"/>
          <w:color w:val="000000"/>
          <w:sz w:val="24"/>
        </w:rPr>
        <w:t xml:space="preserve">                          </w:t>
      </w:r>
      <w:r>
        <w:rPr>
          <w:rFonts w:hint="eastAsia" w:ascii="宋体" w:hAnsi="宋体" w:cs="宋体"/>
          <w:color w:val="000000"/>
          <w:sz w:val="24"/>
        </w:rPr>
        <w:t>总分：</w:t>
      </w:r>
    </w:p>
    <w:tbl>
      <w:tblPr>
        <w:tblStyle w:val="9"/>
        <w:tblW w:w="15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77"/>
        <w:gridCol w:w="750"/>
        <w:gridCol w:w="3450"/>
        <w:gridCol w:w="2919"/>
        <w:gridCol w:w="3081"/>
        <w:gridCol w:w="3254"/>
        <w:gridCol w:w="346"/>
        <w:gridCol w:w="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序号</w:t>
            </w:r>
          </w:p>
        </w:tc>
        <w:tc>
          <w:tcPr>
            <w:tcW w:w="8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项目</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标准分</w:t>
            </w:r>
            <w:r>
              <w:rPr>
                <w:color w:val="000000"/>
                <w:sz w:val="15"/>
                <w:szCs w:val="15"/>
              </w:rPr>
              <w:t>/</w:t>
            </w:r>
            <w:r>
              <w:rPr>
                <w:rFonts w:hint="eastAsia" w:ascii="宋体" w:hAnsi="宋体" w:cs="宋体"/>
                <w:color w:val="000000"/>
                <w:sz w:val="15"/>
                <w:szCs w:val="15"/>
              </w:rPr>
              <w:t>级差</w:t>
            </w:r>
          </w:p>
        </w:tc>
        <w:tc>
          <w:tcPr>
            <w:tcW w:w="3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A</w:t>
            </w:r>
          </w:p>
        </w:tc>
        <w:tc>
          <w:tcPr>
            <w:tcW w:w="29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B</w:t>
            </w:r>
          </w:p>
        </w:tc>
        <w:tc>
          <w:tcPr>
            <w:tcW w:w="30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C</w:t>
            </w:r>
          </w:p>
        </w:tc>
        <w:tc>
          <w:tcPr>
            <w:tcW w:w="32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D</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自评分</w:t>
            </w: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1</w:t>
            </w:r>
          </w:p>
        </w:tc>
        <w:tc>
          <w:tcPr>
            <w:tcW w:w="8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r>
              <w:rPr>
                <w:rFonts w:hint="eastAsia" w:ascii="宋体"/>
                <w:color w:val="000000"/>
                <w:kern w:val="0"/>
                <w:sz w:val="15"/>
                <w:szCs w:val="15"/>
              </w:rPr>
              <w:t>教学态度与效果</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r>
              <w:rPr>
                <w:rFonts w:hint="eastAsia" w:ascii="宋体"/>
                <w:color w:val="000000"/>
                <w:kern w:val="0"/>
                <w:sz w:val="15"/>
                <w:szCs w:val="15"/>
              </w:rPr>
              <w:t>20/5</w:t>
            </w:r>
          </w:p>
        </w:tc>
        <w:tc>
          <w:tcPr>
            <w:tcW w:w="3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遵守学校各项规章制度，积极承担教学任务，有良好的师德修养，认真完成教学环节，注重教书育人。同行评教成绩优秀，每学期学生评教成绩均在90分以上。</w:t>
            </w:r>
          </w:p>
        </w:tc>
        <w:tc>
          <w:tcPr>
            <w:tcW w:w="29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基本达到A级要求，但个别方面完成质量欠佳，学生反映较好。同行评教成绩良好，每学期学生评教成绩均在80分以上。</w:t>
            </w:r>
          </w:p>
        </w:tc>
        <w:tc>
          <w:tcPr>
            <w:tcW w:w="30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不能主动承担教学任务，或因本人主观原因影响教学环节的正常进行。同行评教成绩合格，每学期学生评教成绩均在70分以上。</w:t>
            </w:r>
          </w:p>
        </w:tc>
        <w:tc>
          <w:tcPr>
            <w:tcW w:w="32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有无故拒绝承担教学任务的现象。同行评教较差，每学期学生评教成绩均在60分以上。</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2</w:t>
            </w:r>
          </w:p>
        </w:tc>
        <w:tc>
          <w:tcPr>
            <w:tcW w:w="8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教学方法与手段</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20/5</w:t>
            </w:r>
          </w:p>
        </w:tc>
        <w:tc>
          <w:tcPr>
            <w:tcW w:w="3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因材施教，方法灵活；课程讲授能激发学生的学习兴趣；积极开展教学法研究与应用，科学、合理、有效使用现代教育技术；注重引导学生自主学习。</w:t>
            </w:r>
          </w:p>
        </w:tc>
        <w:tc>
          <w:tcPr>
            <w:tcW w:w="29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基本符合要求，但某些方面有待于提高。</w:t>
            </w:r>
          </w:p>
        </w:tc>
        <w:tc>
          <w:tcPr>
            <w:tcW w:w="30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教学方法单一；课程讲授气氛不够活跃；基本能使用现代教育技术。</w:t>
            </w:r>
          </w:p>
        </w:tc>
        <w:tc>
          <w:tcPr>
            <w:tcW w:w="32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教学方法单一；课堂讲授对学生听课情况关心不够；教学手段陈旧，不能与时俱进。</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3</w:t>
            </w:r>
          </w:p>
        </w:tc>
        <w:tc>
          <w:tcPr>
            <w:tcW w:w="8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教学内容与教育思想</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20/5</w:t>
            </w:r>
          </w:p>
        </w:tc>
        <w:tc>
          <w:tcPr>
            <w:tcW w:w="3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ascii="宋体"/>
                <w:color w:val="000000"/>
                <w:kern w:val="0"/>
                <w:sz w:val="15"/>
                <w:szCs w:val="15"/>
              </w:rPr>
              <w:t>主讲一门以上本科生主干课程</w:t>
            </w:r>
            <w:r>
              <w:rPr>
                <w:rFonts w:hint="eastAsia"/>
                <w:color w:val="000000"/>
                <w:sz w:val="15"/>
                <w:szCs w:val="15"/>
              </w:rPr>
              <w:t>，超额完成本岗位教学工作量</w:t>
            </w:r>
            <w:r>
              <w:rPr>
                <w:rFonts w:hint="eastAsia" w:ascii="宋体"/>
                <w:color w:val="000000"/>
                <w:kern w:val="0"/>
                <w:sz w:val="15"/>
                <w:szCs w:val="15"/>
              </w:rPr>
              <w:t>。</w:t>
            </w:r>
          </w:p>
          <w:p>
            <w:pPr>
              <w:adjustRightInd w:val="0"/>
              <w:snapToGrid w:val="0"/>
              <w:rPr>
                <w:rFonts w:ascii="宋体"/>
                <w:color w:val="000000"/>
                <w:kern w:val="0"/>
                <w:sz w:val="15"/>
                <w:szCs w:val="15"/>
              </w:rPr>
            </w:pPr>
            <w:r>
              <w:rPr>
                <w:rFonts w:hint="eastAsia"/>
                <w:color w:val="000000"/>
                <w:sz w:val="15"/>
                <w:szCs w:val="15"/>
              </w:rPr>
              <w:t>课程内容安排合理，能及时引入最新成果教学，信息量大，注重学生综合素质和能力培养。</w:t>
            </w:r>
          </w:p>
        </w:tc>
        <w:tc>
          <w:tcPr>
            <w:tcW w:w="29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ascii="宋体"/>
                <w:color w:val="000000"/>
                <w:kern w:val="0"/>
                <w:sz w:val="15"/>
                <w:szCs w:val="15"/>
              </w:rPr>
              <w:t>主讲一门本科生课程的教学任务，完成</w:t>
            </w:r>
            <w:r>
              <w:rPr>
                <w:rFonts w:hint="eastAsia"/>
                <w:color w:val="000000"/>
                <w:sz w:val="15"/>
                <w:szCs w:val="15"/>
              </w:rPr>
              <w:t>本岗位教学工作量。</w:t>
            </w:r>
          </w:p>
          <w:p>
            <w:pPr>
              <w:adjustRightInd w:val="0"/>
              <w:snapToGrid w:val="0"/>
              <w:rPr>
                <w:rFonts w:ascii="宋体"/>
                <w:color w:val="000000"/>
                <w:kern w:val="0"/>
                <w:sz w:val="15"/>
                <w:szCs w:val="15"/>
              </w:rPr>
            </w:pPr>
            <w:r>
              <w:rPr>
                <w:rFonts w:hint="eastAsia"/>
                <w:color w:val="000000"/>
                <w:sz w:val="15"/>
                <w:szCs w:val="15"/>
              </w:rPr>
              <w:t>课程内容安排合理，能引入一些最新成果教学，信息量较大，注重培养学生的素质和能力。</w:t>
            </w:r>
          </w:p>
        </w:tc>
        <w:tc>
          <w:tcPr>
            <w:tcW w:w="30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ascii="宋体"/>
                <w:color w:val="000000"/>
                <w:kern w:val="0"/>
                <w:sz w:val="15"/>
                <w:szCs w:val="15"/>
              </w:rPr>
              <w:t>协助完成一门本科生课程，</w:t>
            </w:r>
            <w:r>
              <w:rPr>
                <w:rFonts w:hint="eastAsia"/>
                <w:color w:val="000000"/>
                <w:sz w:val="15"/>
                <w:szCs w:val="15"/>
              </w:rPr>
              <w:t>完成本岗位教学工作量。</w:t>
            </w:r>
          </w:p>
          <w:p>
            <w:pPr>
              <w:adjustRightInd w:val="0"/>
              <w:snapToGrid w:val="0"/>
              <w:rPr>
                <w:rFonts w:ascii="宋体"/>
                <w:color w:val="000000"/>
                <w:kern w:val="0"/>
                <w:sz w:val="15"/>
                <w:szCs w:val="15"/>
              </w:rPr>
            </w:pPr>
            <w:r>
              <w:rPr>
                <w:rFonts w:hint="eastAsia"/>
                <w:color w:val="000000"/>
                <w:sz w:val="15"/>
                <w:szCs w:val="15"/>
              </w:rPr>
              <w:t>课程内容安排合理，信息量较大。</w:t>
            </w:r>
          </w:p>
        </w:tc>
        <w:tc>
          <w:tcPr>
            <w:tcW w:w="32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ascii="宋体"/>
                <w:color w:val="000000"/>
                <w:kern w:val="0"/>
                <w:sz w:val="15"/>
                <w:szCs w:val="15"/>
              </w:rPr>
              <w:t>本科生课程门数未达到教学规定的最低要求，未</w:t>
            </w:r>
            <w:r>
              <w:rPr>
                <w:rFonts w:hint="eastAsia"/>
                <w:color w:val="000000"/>
                <w:sz w:val="15"/>
                <w:szCs w:val="15"/>
              </w:rPr>
              <w:t>完成本岗位教学工作量。</w:t>
            </w:r>
          </w:p>
          <w:p>
            <w:pPr>
              <w:adjustRightInd w:val="0"/>
              <w:snapToGrid w:val="0"/>
              <w:rPr>
                <w:rFonts w:ascii="宋体"/>
                <w:color w:val="000000"/>
                <w:kern w:val="0"/>
                <w:sz w:val="15"/>
                <w:szCs w:val="15"/>
              </w:rPr>
            </w:pPr>
            <w:r>
              <w:rPr>
                <w:rFonts w:hint="eastAsia"/>
                <w:color w:val="000000"/>
                <w:sz w:val="15"/>
                <w:szCs w:val="15"/>
              </w:rPr>
              <w:t>课程内容安排较为合理。</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4</w:t>
            </w:r>
          </w:p>
        </w:tc>
        <w:tc>
          <w:tcPr>
            <w:tcW w:w="8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教学档案</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10/2.5</w:t>
            </w:r>
          </w:p>
        </w:tc>
        <w:tc>
          <w:tcPr>
            <w:tcW w:w="3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教案、教学日历、试卷、毕业论文等教学档案规范、齐全。</w:t>
            </w:r>
          </w:p>
        </w:tc>
        <w:tc>
          <w:tcPr>
            <w:tcW w:w="29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教案、教学日历、试卷、毕业论文等教学档案齐全。</w:t>
            </w:r>
          </w:p>
        </w:tc>
        <w:tc>
          <w:tcPr>
            <w:tcW w:w="30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有教案、教学日历、试卷、毕业论文等教学档案资料，但不规范、不齐全。</w:t>
            </w:r>
          </w:p>
        </w:tc>
        <w:tc>
          <w:tcPr>
            <w:tcW w:w="32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color w:val="000000"/>
                <w:kern w:val="0"/>
                <w:sz w:val="15"/>
                <w:szCs w:val="15"/>
              </w:rPr>
            </w:pPr>
            <w:r>
              <w:rPr>
                <w:rFonts w:hint="eastAsia" w:ascii="宋体"/>
                <w:color w:val="000000"/>
                <w:kern w:val="0"/>
                <w:sz w:val="15"/>
                <w:szCs w:val="15"/>
              </w:rPr>
              <w:t>无相应的教学档案</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5</w:t>
            </w:r>
          </w:p>
        </w:tc>
        <w:tc>
          <w:tcPr>
            <w:tcW w:w="8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教学工程项目与教材建设</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10/2.5</w:t>
            </w:r>
          </w:p>
        </w:tc>
        <w:tc>
          <w:tcPr>
            <w:tcW w:w="3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ascii="宋体" w:hAnsi="宋体"/>
                <w:color w:val="000000"/>
                <w:sz w:val="15"/>
                <w:szCs w:val="15"/>
              </w:rPr>
              <w:t>①</w:t>
            </w:r>
            <w:r>
              <w:rPr>
                <w:rFonts w:hint="eastAsia"/>
                <w:color w:val="000000"/>
                <w:sz w:val="15"/>
                <w:szCs w:val="15"/>
              </w:rPr>
              <w:t>作为前两名，主持一项省级以上教学工程项目。</w:t>
            </w:r>
            <w:r>
              <w:rPr>
                <w:rFonts w:hint="eastAsia" w:ascii="宋体" w:hAnsi="宋体"/>
                <w:color w:val="000000"/>
                <w:sz w:val="15"/>
                <w:szCs w:val="15"/>
              </w:rPr>
              <w:t>②</w:t>
            </w:r>
            <w:r>
              <w:rPr>
                <w:rFonts w:hint="eastAsia"/>
                <w:color w:val="000000"/>
                <w:sz w:val="15"/>
                <w:szCs w:val="15"/>
              </w:rPr>
              <w:t>主编省部级以上规划教材一部。</w:t>
            </w:r>
          </w:p>
        </w:tc>
        <w:tc>
          <w:tcPr>
            <w:tcW w:w="29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ascii="宋体" w:hAnsi="宋体"/>
                <w:color w:val="000000"/>
                <w:sz w:val="15"/>
                <w:szCs w:val="15"/>
              </w:rPr>
              <w:t>①</w:t>
            </w:r>
            <w:r>
              <w:rPr>
                <w:rFonts w:hint="eastAsia"/>
                <w:color w:val="000000"/>
                <w:sz w:val="15"/>
                <w:szCs w:val="15"/>
              </w:rPr>
              <w:t>作为前两名，主持一项校级教学工程项目。</w:t>
            </w:r>
            <w:r>
              <w:rPr>
                <w:rFonts w:hint="eastAsia" w:ascii="宋体" w:hAnsi="宋体"/>
                <w:color w:val="000000"/>
                <w:sz w:val="15"/>
                <w:szCs w:val="15"/>
              </w:rPr>
              <w:t>②</w:t>
            </w:r>
            <w:r>
              <w:rPr>
                <w:rFonts w:hint="eastAsia"/>
                <w:color w:val="000000"/>
                <w:sz w:val="15"/>
                <w:szCs w:val="15"/>
              </w:rPr>
              <w:t>副主编国家规划教材或全国统编教材一部。</w:t>
            </w:r>
          </w:p>
        </w:tc>
        <w:tc>
          <w:tcPr>
            <w:tcW w:w="30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ascii="宋体" w:hAnsi="宋体"/>
                <w:color w:val="000000"/>
                <w:sz w:val="15"/>
                <w:szCs w:val="15"/>
              </w:rPr>
              <w:t>①</w:t>
            </w:r>
            <w:r>
              <w:rPr>
                <w:rFonts w:hint="eastAsia"/>
                <w:color w:val="000000"/>
                <w:sz w:val="15"/>
                <w:szCs w:val="15"/>
              </w:rPr>
              <w:t>参与省级以上教学工程项目。</w:t>
            </w:r>
            <w:r>
              <w:rPr>
                <w:rFonts w:hint="eastAsia" w:ascii="宋体" w:hAnsi="宋体"/>
                <w:color w:val="000000"/>
                <w:sz w:val="15"/>
                <w:szCs w:val="15"/>
              </w:rPr>
              <w:t>②</w:t>
            </w:r>
            <w:r>
              <w:rPr>
                <w:rFonts w:hint="eastAsia"/>
                <w:color w:val="000000"/>
                <w:sz w:val="15"/>
                <w:szCs w:val="15"/>
              </w:rPr>
              <w:t>参编国家规划教材。</w:t>
            </w:r>
            <w:r>
              <w:rPr>
                <w:rFonts w:hint="eastAsia" w:ascii="宋体" w:hAnsi="宋体"/>
                <w:color w:val="000000"/>
                <w:sz w:val="15"/>
                <w:szCs w:val="15"/>
              </w:rPr>
              <w:t>③</w:t>
            </w:r>
            <w:r>
              <w:rPr>
                <w:rFonts w:hint="eastAsia"/>
                <w:color w:val="000000"/>
                <w:sz w:val="15"/>
                <w:szCs w:val="15"/>
              </w:rPr>
              <w:t>参编全国统编一部或副主编以上教材用书一部。</w:t>
            </w:r>
          </w:p>
        </w:tc>
        <w:tc>
          <w:tcPr>
            <w:tcW w:w="32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ascii="宋体" w:hAnsi="宋体"/>
                <w:color w:val="000000"/>
                <w:sz w:val="15"/>
                <w:szCs w:val="15"/>
              </w:rPr>
              <w:t>①</w:t>
            </w:r>
            <w:r>
              <w:rPr>
                <w:rFonts w:hint="eastAsia"/>
                <w:color w:val="000000"/>
                <w:sz w:val="15"/>
                <w:szCs w:val="15"/>
              </w:rPr>
              <w:t>参与校级教学工程项目。</w:t>
            </w:r>
            <w:r>
              <w:rPr>
                <w:rFonts w:hint="eastAsia" w:ascii="宋体" w:hAnsi="宋体"/>
                <w:color w:val="000000"/>
                <w:sz w:val="15"/>
                <w:szCs w:val="15"/>
              </w:rPr>
              <w:t>②</w:t>
            </w:r>
            <w:r>
              <w:rPr>
                <w:rFonts w:hint="eastAsia"/>
                <w:color w:val="000000"/>
                <w:sz w:val="15"/>
                <w:szCs w:val="15"/>
              </w:rPr>
              <w:t>参编教材用书一部。</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6</w:t>
            </w:r>
          </w:p>
        </w:tc>
        <w:tc>
          <w:tcPr>
            <w:tcW w:w="8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教学研究与教学成果奖励</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10/2.5</w:t>
            </w:r>
          </w:p>
        </w:tc>
        <w:tc>
          <w:tcPr>
            <w:tcW w:w="3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color w:val="000000"/>
                <w:sz w:val="15"/>
                <w:szCs w:val="15"/>
              </w:rPr>
              <w:t>①获省级教学奖励一次或校级教学奖励或荣誉两次以上。②获省级教学研究成果奖一项，且为前两名。③在</w:t>
            </w:r>
            <w:r>
              <w:rPr>
                <w:color w:val="000000"/>
                <w:sz w:val="15"/>
                <w:szCs w:val="15"/>
              </w:rPr>
              <w:t>CN</w:t>
            </w:r>
            <w:r>
              <w:rPr>
                <w:rFonts w:hint="eastAsia" w:ascii="宋体" w:hAnsi="宋体" w:cs="宋体"/>
                <w:color w:val="000000"/>
                <w:sz w:val="15"/>
                <w:szCs w:val="15"/>
              </w:rPr>
              <w:t>刊物发表教研论文一篇，署名第一。④承担省级以上教研课题一项，且为第一主持人。</w:t>
            </w:r>
          </w:p>
        </w:tc>
        <w:tc>
          <w:tcPr>
            <w:tcW w:w="29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ascii="宋体" w:hAnsi="宋体"/>
                <w:color w:val="000000"/>
                <w:sz w:val="15"/>
                <w:szCs w:val="15"/>
              </w:rPr>
              <w:t>①</w:t>
            </w:r>
            <w:r>
              <w:rPr>
                <w:rFonts w:hint="eastAsia"/>
                <w:color w:val="000000"/>
                <w:sz w:val="15"/>
                <w:szCs w:val="15"/>
              </w:rPr>
              <w:t>获校级教学奖励或荣誉一次。</w:t>
            </w:r>
            <w:r>
              <w:rPr>
                <w:rFonts w:hint="eastAsia" w:ascii="宋体" w:hAnsi="宋体"/>
                <w:color w:val="000000"/>
                <w:sz w:val="15"/>
                <w:szCs w:val="15"/>
              </w:rPr>
              <w:t>②</w:t>
            </w:r>
            <w:r>
              <w:rPr>
                <w:rFonts w:hint="eastAsia"/>
                <w:color w:val="000000"/>
                <w:sz w:val="15"/>
                <w:szCs w:val="15"/>
              </w:rPr>
              <w:t>获省级教学研究成果奖一项，且为主要完成人。</w:t>
            </w:r>
            <w:r>
              <w:rPr>
                <w:rFonts w:hint="eastAsia" w:ascii="宋体" w:hAnsi="宋体"/>
                <w:color w:val="000000"/>
                <w:sz w:val="15"/>
                <w:szCs w:val="15"/>
              </w:rPr>
              <w:t>③</w:t>
            </w:r>
            <w:r>
              <w:rPr>
                <w:rFonts w:hint="eastAsia"/>
                <w:color w:val="000000"/>
                <w:sz w:val="15"/>
                <w:szCs w:val="15"/>
              </w:rPr>
              <w:t>在</w:t>
            </w:r>
            <w:r>
              <w:rPr>
                <w:color w:val="000000"/>
                <w:sz w:val="15"/>
                <w:szCs w:val="15"/>
              </w:rPr>
              <w:t>CN</w:t>
            </w:r>
            <w:r>
              <w:rPr>
                <w:rFonts w:hint="eastAsia" w:ascii="宋体" w:hAnsi="宋体" w:cs="宋体"/>
                <w:color w:val="000000"/>
                <w:sz w:val="15"/>
                <w:szCs w:val="15"/>
              </w:rPr>
              <w:t>刊物发表教研论文一篇，署名第二。</w:t>
            </w:r>
            <w:r>
              <w:rPr>
                <w:rFonts w:hint="eastAsia" w:ascii="宋体" w:hAnsi="宋体"/>
                <w:color w:val="000000"/>
                <w:sz w:val="15"/>
                <w:szCs w:val="15"/>
              </w:rPr>
              <w:t>④</w:t>
            </w:r>
            <w:r>
              <w:rPr>
                <w:rFonts w:hint="eastAsia"/>
                <w:color w:val="000000"/>
                <w:sz w:val="15"/>
                <w:szCs w:val="15"/>
              </w:rPr>
              <w:t>省级以上教研项目的主要参加人或校级教研项目的前两名。</w:t>
            </w:r>
          </w:p>
        </w:tc>
        <w:tc>
          <w:tcPr>
            <w:tcW w:w="30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ascii="宋体" w:hAnsi="宋体"/>
                <w:color w:val="000000"/>
                <w:sz w:val="15"/>
                <w:szCs w:val="15"/>
              </w:rPr>
              <w:t>①</w:t>
            </w:r>
            <w:r>
              <w:rPr>
                <w:rFonts w:hint="eastAsia"/>
                <w:color w:val="000000"/>
                <w:sz w:val="15"/>
                <w:szCs w:val="15"/>
              </w:rPr>
              <w:t>获学校部门教学奖励或荣誉一次以上。</w:t>
            </w:r>
            <w:r>
              <w:rPr>
                <w:rFonts w:hint="eastAsia" w:ascii="宋体" w:hAnsi="宋体"/>
                <w:color w:val="000000"/>
                <w:sz w:val="15"/>
                <w:szCs w:val="15"/>
              </w:rPr>
              <w:t>②</w:t>
            </w:r>
            <w:r>
              <w:rPr>
                <w:rFonts w:hint="eastAsia"/>
                <w:color w:val="000000"/>
                <w:sz w:val="15"/>
                <w:szCs w:val="15"/>
              </w:rPr>
              <w:t>获校级教学研究成果一项以上，为完成人。</w:t>
            </w:r>
            <w:r>
              <w:rPr>
                <w:rFonts w:hint="eastAsia" w:ascii="宋体" w:hAnsi="宋体"/>
                <w:color w:val="000000"/>
                <w:sz w:val="15"/>
                <w:szCs w:val="15"/>
              </w:rPr>
              <w:t>③</w:t>
            </w:r>
            <w:r>
              <w:rPr>
                <w:rFonts w:hint="eastAsia"/>
                <w:color w:val="000000"/>
                <w:sz w:val="15"/>
                <w:szCs w:val="15"/>
              </w:rPr>
              <w:t>在</w:t>
            </w:r>
            <w:r>
              <w:rPr>
                <w:color w:val="000000"/>
                <w:sz w:val="15"/>
                <w:szCs w:val="15"/>
              </w:rPr>
              <w:t>CN</w:t>
            </w:r>
            <w:r>
              <w:rPr>
                <w:rFonts w:hint="eastAsia" w:ascii="宋体" w:hAnsi="宋体" w:cs="宋体"/>
                <w:color w:val="000000"/>
                <w:sz w:val="15"/>
                <w:szCs w:val="15"/>
              </w:rPr>
              <w:t>刊物发表教研论文，署名第二之后。</w:t>
            </w:r>
            <w:r>
              <w:rPr>
                <w:rFonts w:hint="eastAsia" w:ascii="宋体" w:hAnsi="宋体"/>
                <w:color w:val="000000"/>
                <w:sz w:val="15"/>
                <w:szCs w:val="15"/>
              </w:rPr>
              <w:t>④</w:t>
            </w:r>
            <w:r>
              <w:rPr>
                <w:rFonts w:hint="eastAsia"/>
                <w:color w:val="000000"/>
                <w:sz w:val="15"/>
                <w:szCs w:val="15"/>
              </w:rPr>
              <w:t>参与校级以上级教研课题，为主要参加人。</w:t>
            </w:r>
          </w:p>
        </w:tc>
        <w:tc>
          <w:tcPr>
            <w:tcW w:w="32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符合下列条件之一：</w:t>
            </w:r>
          </w:p>
          <w:p>
            <w:pPr>
              <w:adjustRightInd w:val="0"/>
              <w:snapToGrid w:val="0"/>
              <w:rPr>
                <w:color w:val="000000"/>
                <w:sz w:val="15"/>
                <w:szCs w:val="15"/>
              </w:rPr>
            </w:pPr>
            <w:r>
              <w:rPr>
                <w:rFonts w:hint="eastAsia" w:ascii="宋体" w:hAnsi="宋体"/>
                <w:color w:val="000000"/>
                <w:sz w:val="15"/>
                <w:szCs w:val="15"/>
              </w:rPr>
              <w:t>①</w:t>
            </w:r>
            <w:r>
              <w:rPr>
                <w:rFonts w:hint="eastAsia"/>
                <w:color w:val="000000"/>
                <w:sz w:val="15"/>
                <w:szCs w:val="15"/>
              </w:rPr>
              <w:t>获各级奖励或荣誉。</w:t>
            </w:r>
            <w:r>
              <w:rPr>
                <w:rFonts w:hint="eastAsia" w:ascii="宋体" w:hAnsi="宋体"/>
                <w:color w:val="000000"/>
                <w:sz w:val="15"/>
                <w:szCs w:val="15"/>
              </w:rPr>
              <w:t>②</w:t>
            </w:r>
            <w:r>
              <w:rPr>
                <w:rFonts w:hint="eastAsia"/>
                <w:color w:val="000000"/>
                <w:sz w:val="15"/>
                <w:szCs w:val="15"/>
              </w:rPr>
              <w:t>参与各级教研课题。</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7</w:t>
            </w:r>
          </w:p>
        </w:tc>
        <w:tc>
          <w:tcPr>
            <w:tcW w:w="877" w:type="dxa"/>
            <w:vMerge w:val="restart"/>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奖励项</w:t>
            </w: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4</w:t>
            </w:r>
          </w:p>
        </w:tc>
        <w:tc>
          <w:tcPr>
            <w:tcW w:w="12704"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教学工作量：年讲授超过本岗位教学工作量标准的</w:t>
            </w:r>
            <w:r>
              <w:rPr>
                <w:color w:val="000000"/>
                <w:sz w:val="15"/>
                <w:szCs w:val="15"/>
              </w:rPr>
              <w:t>50%</w:t>
            </w:r>
            <w:r>
              <w:rPr>
                <w:rFonts w:hint="eastAsia" w:ascii="宋体" w:hAnsi="宋体" w:cs="宋体"/>
                <w:color w:val="000000"/>
                <w:sz w:val="15"/>
                <w:szCs w:val="15"/>
              </w:rPr>
              <w:t>以上或主讲两门以上本科生课程。</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8</w:t>
            </w:r>
          </w:p>
        </w:tc>
        <w:tc>
          <w:tcPr>
            <w:tcW w:w="877" w:type="dxa"/>
            <w:vMerge w:val="continue"/>
            <w:tcBorders>
              <w:top w:val="nil"/>
              <w:left w:val="nil"/>
              <w:bottom w:val="single" w:color="auto" w:sz="4" w:space="0"/>
              <w:right w:val="single" w:color="auto" w:sz="4" w:space="0"/>
            </w:tcBorders>
            <w:shd w:val="clear" w:color="auto" w:fill="auto"/>
            <w:vAlign w:val="center"/>
          </w:tcPr>
          <w:p>
            <w:pPr>
              <w:jc w:val="center"/>
              <w:rPr>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3</w:t>
            </w:r>
          </w:p>
        </w:tc>
        <w:tc>
          <w:tcPr>
            <w:tcW w:w="12704"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教学工程项目和教材建设：①作为前两名，完成两项省级以上教学工程项目；或主编、副主编国家规划教材两部或以上。</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9</w:t>
            </w:r>
          </w:p>
        </w:tc>
        <w:tc>
          <w:tcPr>
            <w:tcW w:w="877" w:type="dxa"/>
            <w:vMerge w:val="continue"/>
            <w:tcBorders>
              <w:top w:val="nil"/>
              <w:left w:val="nil"/>
              <w:bottom w:val="single" w:color="auto" w:sz="4" w:space="0"/>
              <w:right w:val="single" w:color="auto" w:sz="4" w:space="0"/>
            </w:tcBorders>
            <w:shd w:val="clear" w:color="auto" w:fill="auto"/>
            <w:vAlign w:val="center"/>
          </w:tcPr>
          <w:p>
            <w:pPr>
              <w:jc w:val="center"/>
              <w:rPr>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3</w:t>
            </w:r>
          </w:p>
        </w:tc>
        <w:tc>
          <w:tcPr>
            <w:tcW w:w="12704"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rPr>
                <w:color w:val="000000"/>
                <w:sz w:val="15"/>
                <w:szCs w:val="15"/>
              </w:rPr>
            </w:pPr>
            <w:r>
              <w:rPr>
                <w:rFonts w:hint="eastAsia"/>
                <w:color w:val="000000"/>
                <w:sz w:val="15"/>
                <w:szCs w:val="15"/>
              </w:rPr>
              <w:t>教学研究及教学成果奖励：获两种及以上校级教学奖励或荣誉；或省级教研成果一等奖以上，且为课题主要完成人；或在</w:t>
            </w:r>
            <w:r>
              <w:rPr>
                <w:color w:val="000000"/>
                <w:sz w:val="15"/>
                <w:szCs w:val="15"/>
              </w:rPr>
              <w:t>CN</w:t>
            </w:r>
            <w:r>
              <w:rPr>
                <w:rFonts w:hint="eastAsia" w:ascii="宋体" w:hAnsi="宋体" w:cs="宋体"/>
                <w:color w:val="000000"/>
                <w:sz w:val="15"/>
                <w:szCs w:val="15"/>
              </w:rPr>
              <w:t>级公开发表教学研究论文两篇及以上，且为第一作者；或国家级在研教研课题的前两名。</w:t>
            </w:r>
          </w:p>
        </w:tc>
        <w:tc>
          <w:tcPr>
            <w:tcW w:w="3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c>
          <w:tcPr>
            <w:tcW w:w="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15"/>
                <w:szCs w:val="15"/>
              </w:rPr>
            </w:pPr>
            <w:r>
              <w:rPr>
                <w:rFonts w:hint="eastAsia"/>
                <w:color w:val="000000"/>
                <w:sz w:val="15"/>
                <w:szCs w:val="15"/>
              </w:rPr>
              <w:t>总分合计</w:t>
            </w:r>
          </w:p>
        </w:tc>
        <w:tc>
          <w:tcPr>
            <w:tcW w:w="13373" w:type="dxa"/>
            <w:gridSpan w:val="6"/>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color w:val="000000"/>
                <w:kern w:val="0"/>
                <w:sz w:val="15"/>
                <w:szCs w:val="15"/>
              </w:rPr>
            </w:pPr>
          </w:p>
        </w:tc>
      </w:tr>
    </w:tbl>
    <w:p>
      <w:pPr>
        <w:rPr>
          <w:rFonts w:ascii="仿宋_GB2312" w:hAnsi="宋体" w:eastAsia="仿宋_GB2312"/>
          <w:color w:val="000000"/>
          <w:sz w:val="32"/>
          <w:szCs w:val="32"/>
        </w:rPr>
        <w:sectPr>
          <w:pgSz w:w="16838" w:h="11906" w:orient="landscape"/>
          <w:pgMar w:top="1417" w:right="1134" w:bottom="850" w:left="1134" w:header="720" w:footer="1020" w:gutter="0"/>
          <w:cols w:space="0" w:num="1"/>
          <w:docGrid w:type="lines" w:linePitch="322" w:charSpace="0"/>
        </w:sectPr>
      </w:pPr>
    </w:p>
    <w:p>
      <w:pPr>
        <w:spacing w:line="460" w:lineRule="exact"/>
        <w:rPr>
          <w:rFonts w:ascii="黑体" w:hAnsi="黑体" w:eastAsia="黑体" w:cs="黑体"/>
          <w:color w:val="000000"/>
          <w:sz w:val="32"/>
          <w:szCs w:val="32"/>
        </w:rPr>
      </w:pPr>
      <w:r>
        <w:rPr>
          <w:rFonts w:hint="eastAsia" w:ascii="黑体" w:hAnsi="黑体" w:eastAsia="黑体" w:cs="黑体"/>
          <w:color w:val="000000"/>
          <w:sz w:val="32"/>
          <w:szCs w:val="32"/>
        </w:rPr>
        <w:t>附件3</w:t>
      </w:r>
    </w:p>
    <w:p>
      <w:pPr>
        <w:spacing w:line="460" w:lineRule="exact"/>
        <w:rPr>
          <w:rFonts w:ascii="黑体" w:hAnsi="黑体" w:eastAsia="黑体" w:cs="黑体"/>
          <w:color w:val="000000"/>
          <w:sz w:val="32"/>
          <w:szCs w:val="32"/>
        </w:rPr>
      </w:pPr>
    </w:p>
    <w:p>
      <w:pPr>
        <w:spacing w:line="4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河 南 农 业 大 学</w:t>
      </w:r>
    </w:p>
    <w:p>
      <w:pPr>
        <w:spacing w:line="4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实验室工作人员年度教学质量考评评定量化表</w:t>
      </w:r>
    </w:p>
    <w:p>
      <w:pPr>
        <w:spacing w:beforeLines="50"/>
        <w:ind w:left="239" w:leftChars="114" w:firstLine="237" w:firstLineChars="99"/>
        <w:rPr>
          <w:color w:val="000000"/>
          <w:sz w:val="24"/>
          <w:u w:val="single"/>
        </w:rPr>
      </w:pPr>
      <w:r>
        <w:rPr>
          <w:rFonts w:hint="eastAsia" w:ascii="宋体" w:hAnsi="宋体" w:cs="宋体"/>
          <w:color w:val="000000"/>
          <w:sz w:val="24"/>
        </w:rPr>
        <w:t>学院：</w:t>
      </w:r>
      <w:r>
        <w:rPr>
          <w:rFonts w:hint="eastAsia"/>
          <w:color w:val="000000"/>
          <w:sz w:val="24"/>
          <w:u w:val="single"/>
        </w:rPr>
        <w:t xml:space="preserve">                     </w:t>
      </w:r>
      <w:r>
        <w:rPr>
          <w:rFonts w:hint="eastAsia"/>
          <w:color w:val="000000"/>
          <w:sz w:val="24"/>
        </w:rPr>
        <w:t xml:space="preserve">      </w:t>
      </w:r>
      <w:r>
        <w:rPr>
          <w:rFonts w:hint="eastAsia" w:ascii="宋体" w:hAnsi="宋体" w:cs="宋体"/>
          <w:color w:val="000000"/>
          <w:sz w:val="24"/>
        </w:rPr>
        <w:t>姓名：</w:t>
      </w:r>
      <w:r>
        <w:rPr>
          <w:rFonts w:hint="eastAsia"/>
          <w:color w:val="000000"/>
          <w:sz w:val="24"/>
          <w:u w:val="single"/>
        </w:rPr>
        <w:t xml:space="preserve">                </w:t>
      </w:r>
      <w:r>
        <w:rPr>
          <w:rFonts w:hint="eastAsia"/>
          <w:color w:val="000000"/>
          <w:sz w:val="24"/>
        </w:rPr>
        <w:t xml:space="preserve">  </w:t>
      </w:r>
      <w:r>
        <w:rPr>
          <w:rFonts w:hint="eastAsia" w:ascii="宋体" w:hAnsi="宋体" w:cs="宋体"/>
          <w:color w:val="000000"/>
          <w:sz w:val="24"/>
        </w:rPr>
        <w:t>总分：</w:t>
      </w:r>
      <w:r>
        <w:rPr>
          <w:rFonts w:hint="eastAsia"/>
          <w:color w:val="000000"/>
          <w:sz w:val="24"/>
          <w:u w:val="single"/>
        </w:rPr>
        <w:t xml:space="preserve">       </w:t>
      </w:r>
    </w:p>
    <w:tbl>
      <w:tblPr>
        <w:tblStyle w:val="9"/>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314"/>
        <w:gridCol w:w="615"/>
        <w:gridCol w:w="627"/>
        <w:gridCol w:w="3094"/>
        <w:gridCol w:w="2073"/>
        <w:gridCol w:w="1705"/>
        <w:gridCol w:w="1336"/>
        <w:gridCol w:w="369"/>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序号</w:t>
            </w:r>
          </w:p>
        </w:tc>
        <w:tc>
          <w:tcPr>
            <w:tcW w:w="92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项目</w:t>
            </w:r>
          </w:p>
        </w:tc>
        <w:tc>
          <w:tcPr>
            <w:tcW w:w="6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分值</w:t>
            </w:r>
            <w:r>
              <w:rPr>
                <w:color w:val="000000"/>
                <w:sz w:val="18"/>
                <w:szCs w:val="18"/>
              </w:rPr>
              <w:t>/</w:t>
            </w:r>
            <w:r>
              <w:rPr>
                <w:rFonts w:hint="eastAsia" w:ascii="宋体" w:hAnsi="宋体" w:cs="宋体"/>
                <w:color w:val="000000"/>
                <w:sz w:val="18"/>
                <w:szCs w:val="18"/>
              </w:rPr>
              <w:t>级差</w:t>
            </w:r>
          </w:p>
        </w:tc>
        <w:tc>
          <w:tcPr>
            <w:tcW w:w="309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24"/>
              </w:rPr>
            </w:pPr>
            <w:r>
              <w:rPr>
                <w:rFonts w:hint="eastAsia"/>
                <w:color w:val="000000"/>
                <w:sz w:val="24"/>
              </w:rPr>
              <w:t>A</w:t>
            </w:r>
          </w:p>
        </w:tc>
        <w:tc>
          <w:tcPr>
            <w:tcW w:w="207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24"/>
              </w:rPr>
            </w:pPr>
            <w:r>
              <w:rPr>
                <w:rFonts w:hint="eastAsia"/>
                <w:color w:val="000000"/>
                <w:sz w:val="24"/>
              </w:rPr>
              <w:t>B</w:t>
            </w:r>
          </w:p>
        </w:tc>
        <w:tc>
          <w:tcPr>
            <w:tcW w:w="17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24"/>
              </w:rPr>
            </w:pPr>
            <w:r>
              <w:rPr>
                <w:rFonts w:hint="eastAsia"/>
                <w:color w:val="000000"/>
                <w:sz w:val="24"/>
              </w:rPr>
              <w:t>C</w:t>
            </w:r>
          </w:p>
        </w:tc>
        <w:tc>
          <w:tcPr>
            <w:tcW w:w="13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24"/>
              </w:rPr>
            </w:pPr>
            <w:r>
              <w:rPr>
                <w:rFonts w:hint="eastAsia"/>
                <w:color w:val="000000"/>
                <w:sz w:val="24"/>
              </w:rPr>
              <w:t>D</w:t>
            </w: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8"/>
                <w:szCs w:val="18"/>
              </w:rPr>
            </w:pPr>
            <w:r>
              <w:rPr>
                <w:rFonts w:hint="eastAsia"/>
                <w:color w:val="000000"/>
                <w:sz w:val="18"/>
                <w:szCs w:val="18"/>
              </w:rPr>
              <w:t>自评分</w:t>
            </w: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18"/>
                <w:szCs w:val="18"/>
              </w:rPr>
            </w:pPr>
            <w:r>
              <w:rPr>
                <w:rFonts w:hint="eastAsia"/>
                <w:color w:val="000000"/>
                <w:sz w:val="18"/>
                <w:szCs w:val="18"/>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color w:val="000000"/>
                <w:sz w:val="18"/>
                <w:szCs w:val="18"/>
              </w:rPr>
            </w:pPr>
            <w:r>
              <w:rPr>
                <w:rFonts w:hint="eastAsia"/>
                <w:color w:val="000000"/>
                <w:sz w:val="18"/>
                <w:szCs w:val="18"/>
              </w:rPr>
              <w:t>1</w:t>
            </w:r>
          </w:p>
        </w:tc>
        <w:tc>
          <w:tcPr>
            <w:tcW w:w="314" w:type="dxa"/>
            <w:vMerge w:val="restart"/>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color w:val="000000"/>
                <w:kern w:val="0"/>
                <w:sz w:val="18"/>
                <w:szCs w:val="18"/>
              </w:rPr>
            </w:pPr>
            <w:r>
              <w:rPr>
                <w:rFonts w:hint="eastAsia"/>
                <w:color w:val="000000"/>
                <w:sz w:val="18"/>
                <w:szCs w:val="18"/>
              </w:rPr>
              <w:t>基本考评项</w:t>
            </w:r>
          </w:p>
        </w:tc>
        <w:tc>
          <w:tcPr>
            <w:tcW w:w="61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color w:val="000000"/>
                <w:kern w:val="0"/>
                <w:sz w:val="18"/>
                <w:szCs w:val="18"/>
              </w:rPr>
            </w:pPr>
            <w:r>
              <w:rPr>
                <w:rFonts w:hint="eastAsia" w:ascii="宋体"/>
                <w:color w:val="000000"/>
                <w:kern w:val="0"/>
                <w:sz w:val="18"/>
                <w:szCs w:val="18"/>
              </w:rPr>
              <w:t>工作态度及效果</w:t>
            </w:r>
          </w:p>
        </w:tc>
        <w:tc>
          <w:tcPr>
            <w:tcW w:w="6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color w:val="000000"/>
                <w:kern w:val="0"/>
                <w:sz w:val="18"/>
                <w:szCs w:val="18"/>
              </w:rPr>
            </w:pPr>
            <w:r>
              <w:rPr>
                <w:rFonts w:hint="eastAsia" w:ascii="宋体"/>
                <w:color w:val="000000"/>
                <w:kern w:val="0"/>
                <w:sz w:val="18"/>
                <w:szCs w:val="18"/>
              </w:rPr>
              <w:t>15/3</w:t>
            </w:r>
          </w:p>
        </w:tc>
        <w:tc>
          <w:tcPr>
            <w:tcW w:w="3094"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①积极主动承担实验室各项工作，模范遵守学校各项规章制度；</w:t>
            </w:r>
          </w:p>
          <w:p>
            <w:pPr>
              <w:adjustRightInd w:val="0"/>
              <w:snapToGrid w:val="0"/>
              <w:spacing w:beforeLines="10" w:afterLines="10" w:line="240" w:lineRule="exact"/>
              <w:rPr>
                <w:rFonts w:ascii="宋体"/>
                <w:color w:val="000000"/>
                <w:spacing w:val="-8"/>
                <w:kern w:val="0"/>
                <w:sz w:val="18"/>
                <w:szCs w:val="18"/>
              </w:rPr>
            </w:pPr>
            <w:r>
              <w:rPr>
                <w:rFonts w:hint="eastAsia" w:ascii="宋体"/>
                <w:color w:val="000000"/>
                <w:spacing w:val="-8"/>
                <w:kern w:val="0"/>
                <w:sz w:val="18"/>
                <w:szCs w:val="18"/>
              </w:rPr>
              <w:t>②出色完成单位交给的各项工作任务；</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③服务意识强，有大局意识，能团结协作，师生反映良好。</w:t>
            </w:r>
          </w:p>
        </w:tc>
        <w:tc>
          <w:tcPr>
            <w:tcW w:w="2073"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①积极承担实验室工作，自觉遵守学校各项规章制度；</w:t>
            </w:r>
          </w:p>
          <w:p>
            <w:pPr>
              <w:adjustRightInd w:val="0"/>
              <w:snapToGrid w:val="0"/>
              <w:spacing w:beforeLines="10" w:afterLines="10" w:line="240" w:lineRule="exact"/>
              <w:rPr>
                <w:rFonts w:ascii="宋体"/>
                <w:color w:val="000000"/>
                <w:spacing w:val="-4"/>
                <w:kern w:val="0"/>
                <w:sz w:val="18"/>
                <w:szCs w:val="18"/>
              </w:rPr>
            </w:pPr>
            <w:r>
              <w:rPr>
                <w:rFonts w:hint="eastAsia" w:ascii="宋体"/>
                <w:color w:val="000000"/>
                <w:spacing w:val="-4"/>
                <w:kern w:val="0"/>
                <w:sz w:val="18"/>
                <w:szCs w:val="18"/>
              </w:rPr>
              <w:t>②</w:t>
            </w:r>
            <w:r>
              <w:rPr>
                <w:rFonts w:hint="eastAsia"/>
                <w:color w:val="000000"/>
                <w:spacing w:val="-4"/>
                <w:sz w:val="18"/>
                <w:szCs w:val="18"/>
              </w:rPr>
              <w:t>完成本职工作</w:t>
            </w:r>
            <w:r>
              <w:rPr>
                <w:rFonts w:hint="eastAsia" w:ascii="宋体"/>
                <w:color w:val="000000"/>
                <w:spacing w:val="-4"/>
                <w:kern w:val="0"/>
                <w:sz w:val="18"/>
                <w:szCs w:val="18"/>
              </w:rPr>
              <w:t>好；</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③服务意识较强，师生反映较好。</w:t>
            </w:r>
          </w:p>
        </w:tc>
        <w:tc>
          <w:tcPr>
            <w:tcW w:w="1705"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①承担实验室教学工作，遵守学校各项规章制度；②完成岗位任务；③有服务意识，师生反映一般。</w:t>
            </w:r>
          </w:p>
        </w:tc>
        <w:tc>
          <w:tcPr>
            <w:tcW w:w="1336" w:type="dxa"/>
            <w:tcBorders>
              <w:top w:val="single" w:color="auto" w:sz="4" w:space="0"/>
              <w:left w:val="nil"/>
              <w:bottom w:val="single" w:color="auto" w:sz="4" w:space="0"/>
              <w:right w:val="single" w:color="auto" w:sz="4" w:space="0"/>
            </w:tcBorders>
            <w:shd w:val="clear" w:color="auto" w:fill="auto"/>
          </w:tcPr>
          <w:p>
            <w:pPr>
              <w:spacing w:before="31" w:after="31" w:line="240" w:lineRule="exact"/>
              <w:rPr>
                <w:rFonts w:ascii="宋体"/>
                <w:color w:val="000000"/>
                <w:kern w:val="0"/>
                <w:sz w:val="18"/>
                <w:szCs w:val="18"/>
              </w:rPr>
            </w:pPr>
            <w:r>
              <w:rPr>
                <w:rFonts w:hint="eastAsia" w:ascii="宋体"/>
                <w:color w:val="000000"/>
                <w:kern w:val="0"/>
                <w:sz w:val="18"/>
                <w:szCs w:val="18"/>
              </w:rPr>
              <w:t>未完成岗位任务；服务意识差；有违纪现象。</w:t>
            </w: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color w:val="00000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color w:val="000000"/>
                <w:sz w:val="18"/>
                <w:szCs w:val="18"/>
              </w:rPr>
            </w:pPr>
            <w:r>
              <w:rPr>
                <w:rFonts w:hint="eastAsia"/>
                <w:color w:val="000000"/>
                <w:sz w:val="18"/>
                <w:szCs w:val="18"/>
              </w:rPr>
              <w:t>2</w:t>
            </w:r>
          </w:p>
        </w:tc>
        <w:tc>
          <w:tcPr>
            <w:tcW w:w="314" w:type="dxa"/>
            <w:vMerge w:val="continue"/>
            <w:tcBorders>
              <w:top w:val="nil"/>
              <w:left w:val="nil"/>
              <w:bottom w:val="single" w:color="auto" w:sz="4" w:space="0"/>
              <w:right w:val="single" w:color="auto" w:sz="4" w:space="0"/>
            </w:tcBorders>
            <w:shd w:val="clear" w:color="auto" w:fill="auto"/>
            <w:vAlign w:val="center"/>
          </w:tcPr>
          <w:p>
            <w:pPr>
              <w:spacing w:line="240" w:lineRule="exact"/>
              <w:rPr>
                <w:sz w:val="20"/>
                <w:szCs w:val="20"/>
              </w:rPr>
            </w:pPr>
          </w:p>
        </w:tc>
        <w:tc>
          <w:tcPr>
            <w:tcW w:w="61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实验教学</w:t>
            </w:r>
          </w:p>
        </w:tc>
        <w:tc>
          <w:tcPr>
            <w:tcW w:w="6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20/5</w:t>
            </w:r>
          </w:p>
        </w:tc>
        <w:tc>
          <w:tcPr>
            <w:tcW w:w="3094"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①主持指导1门实验课，课程受到学生好评或负责2门及以上实</w:t>
            </w:r>
            <w:r>
              <w:rPr>
                <w:rFonts w:hint="eastAsia" w:ascii="宋体"/>
                <w:color w:val="000000"/>
                <w:spacing w:val="-6"/>
                <w:kern w:val="0"/>
                <w:sz w:val="18"/>
                <w:szCs w:val="18"/>
              </w:rPr>
              <w:t>验课的准备和辅导，</w:t>
            </w:r>
            <w:r>
              <w:rPr>
                <w:rFonts w:hint="eastAsia"/>
                <w:color w:val="000000"/>
                <w:spacing w:val="-6"/>
                <w:sz w:val="18"/>
                <w:szCs w:val="18"/>
              </w:rPr>
              <w:t>准备工作充分；</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②具有独立解决和及时处理实验</w:t>
            </w:r>
            <w:r>
              <w:rPr>
                <w:rFonts w:hint="eastAsia" w:ascii="宋体"/>
                <w:color w:val="000000"/>
                <w:spacing w:val="6"/>
                <w:kern w:val="0"/>
                <w:sz w:val="18"/>
                <w:szCs w:val="18"/>
              </w:rPr>
              <w:t>教学中出现的关键技术问题的能力。</w:t>
            </w:r>
          </w:p>
        </w:tc>
        <w:tc>
          <w:tcPr>
            <w:tcW w:w="2073"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①参与和准备2门实验课，实验课正常开出；</w:t>
            </w:r>
          </w:p>
          <w:p>
            <w:pPr>
              <w:adjustRightInd w:val="0"/>
              <w:snapToGrid w:val="0"/>
              <w:spacing w:beforeLines="10" w:afterLines="10" w:line="240" w:lineRule="exact"/>
              <w:rPr>
                <w:rFonts w:ascii="宋体"/>
                <w:color w:val="000000"/>
                <w:kern w:val="0"/>
                <w:sz w:val="18"/>
                <w:szCs w:val="18"/>
              </w:rPr>
            </w:pPr>
            <w:r>
              <w:rPr>
                <w:rFonts w:hint="eastAsia" w:ascii="宋体" w:hAnsi="宋体"/>
                <w:color w:val="000000"/>
                <w:kern w:val="0"/>
                <w:sz w:val="18"/>
                <w:szCs w:val="18"/>
              </w:rPr>
              <w:t>②</w:t>
            </w:r>
            <w:r>
              <w:rPr>
                <w:rFonts w:hint="eastAsia" w:ascii="宋体"/>
                <w:color w:val="000000"/>
                <w:kern w:val="0"/>
                <w:sz w:val="18"/>
                <w:szCs w:val="18"/>
              </w:rPr>
              <w:t>能够解决和处理实验教学中出现的疑难问题。</w:t>
            </w:r>
          </w:p>
        </w:tc>
        <w:tc>
          <w:tcPr>
            <w:tcW w:w="1705"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①实验教学准备工作充分，实验课能正常开出；</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②及时处理实验教学中出现的一般问题。</w:t>
            </w:r>
          </w:p>
        </w:tc>
        <w:tc>
          <w:tcPr>
            <w:tcW w:w="1336"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实验教学准备工作差，有延误实验课正常开出的情况。</w:t>
            </w: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color w:val="00000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color w:val="000000"/>
                <w:sz w:val="18"/>
                <w:szCs w:val="18"/>
              </w:rPr>
            </w:pPr>
            <w:r>
              <w:rPr>
                <w:rFonts w:hint="eastAsia"/>
                <w:color w:val="000000"/>
                <w:sz w:val="18"/>
                <w:szCs w:val="18"/>
              </w:rPr>
              <w:t>3</w:t>
            </w:r>
          </w:p>
        </w:tc>
        <w:tc>
          <w:tcPr>
            <w:tcW w:w="314" w:type="dxa"/>
            <w:vMerge w:val="continue"/>
            <w:tcBorders>
              <w:top w:val="nil"/>
              <w:left w:val="nil"/>
              <w:bottom w:val="single" w:color="auto" w:sz="4" w:space="0"/>
              <w:right w:val="single" w:color="auto" w:sz="4" w:space="0"/>
            </w:tcBorders>
            <w:shd w:val="clear" w:color="auto" w:fill="auto"/>
            <w:vAlign w:val="center"/>
          </w:tcPr>
          <w:p>
            <w:pPr>
              <w:spacing w:line="240" w:lineRule="exact"/>
              <w:rPr>
                <w:sz w:val="20"/>
                <w:szCs w:val="20"/>
              </w:rPr>
            </w:pPr>
          </w:p>
        </w:tc>
        <w:tc>
          <w:tcPr>
            <w:tcW w:w="61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实验室管理</w:t>
            </w:r>
          </w:p>
        </w:tc>
        <w:tc>
          <w:tcPr>
            <w:tcW w:w="6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15/5</w:t>
            </w:r>
          </w:p>
        </w:tc>
        <w:tc>
          <w:tcPr>
            <w:tcW w:w="3094"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①固定资产账、卡、物100%相符，设备完好率≥98%，设备资产管理工作规范；</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②实验室能长期保持整洁，环境和安全状况良好，无安全事故；</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③</w:t>
            </w:r>
            <w:r>
              <w:rPr>
                <w:rFonts w:hint="eastAsia"/>
                <w:color w:val="000000"/>
                <w:sz w:val="18"/>
                <w:szCs w:val="18"/>
              </w:rPr>
              <w:t>信息管理工作好，</w:t>
            </w:r>
            <w:r>
              <w:rPr>
                <w:rFonts w:hint="eastAsia" w:ascii="宋体"/>
                <w:color w:val="000000"/>
                <w:kern w:val="0"/>
                <w:sz w:val="18"/>
                <w:szCs w:val="18"/>
              </w:rPr>
              <w:t>能够及时、准确上报实验室的各类数据。</w:t>
            </w:r>
          </w:p>
        </w:tc>
        <w:tc>
          <w:tcPr>
            <w:tcW w:w="2073"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①固定资产账、卡、物95%相符；设备完好率≥95%；</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②无安全事故，实验室卫生状况好；</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③能够及时、准确上报实验室的各类数据。</w:t>
            </w:r>
          </w:p>
        </w:tc>
        <w:tc>
          <w:tcPr>
            <w:tcW w:w="1705"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①固定资产账、卡、物90%相符；设备完好率≥90%；</w:t>
            </w:r>
          </w:p>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②无安全事故，实验室卫生条件一般。</w:t>
            </w:r>
          </w:p>
        </w:tc>
        <w:tc>
          <w:tcPr>
            <w:tcW w:w="1336"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实验室发生过环境或安全事故。</w:t>
            </w: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color w:val="00000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color w:val="000000"/>
                <w:sz w:val="18"/>
                <w:szCs w:val="18"/>
              </w:rPr>
            </w:pPr>
            <w:r>
              <w:rPr>
                <w:rFonts w:hint="eastAsia"/>
                <w:color w:val="000000"/>
                <w:sz w:val="18"/>
                <w:szCs w:val="18"/>
              </w:rPr>
              <w:t>4</w:t>
            </w:r>
          </w:p>
        </w:tc>
        <w:tc>
          <w:tcPr>
            <w:tcW w:w="314" w:type="dxa"/>
            <w:vMerge w:val="continue"/>
            <w:tcBorders>
              <w:top w:val="nil"/>
              <w:left w:val="nil"/>
              <w:bottom w:val="single" w:color="auto" w:sz="4" w:space="0"/>
              <w:right w:val="single" w:color="auto" w:sz="4" w:space="0"/>
            </w:tcBorders>
            <w:shd w:val="clear" w:color="auto" w:fill="auto"/>
            <w:vAlign w:val="center"/>
          </w:tcPr>
          <w:p>
            <w:pPr>
              <w:spacing w:line="240" w:lineRule="exact"/>
              <w:rPr>
                <w:sz w:val="20"/>
                <w:szCs w:val="20"/>
              </w:rPr>
            </w:pPr>
          </w:p>
        </w:tc>
        <w:tc>
          <w:tcPr>
            <w:tcW w:w="61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实验室建设</w:t>
            </w:r>
          </w:p>
        </w:tc>
        <w:tc>
          <w:tcPr>
            <w:tcW w:w="6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center"/>
              <w:rPr>
                <w:color w:val="000000"/>
                <w:sz w:val="18"/>
                <w:szCs w:val="18"/>
              </w:rPr>
            </w:pPr>
            <w:r>
              <w:rPr>
                <w:rFonts w:hint="eastAsia"/>
                <w:color w:val="000000"/>
                <w:sz w:val="18"/>
                <w:szCs w:val="18"/>
              </w:rPr>
              <w:t>15/5</w:t>
            </w:r>
          </w:p>
        </w:tc>
        <w:tc>
          <w:tcPr>
            <w:tcW w:w="3094"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color w:val="000000"/>
                <w:sz w:val="18"/>
                <w:szCs w:val="18"/>
              </w:rPr>
            </w:pPr>
            <w:r>
              <w:rPr>
                <w:rFonts w:hint="eastAsia"/>
                <w:color w:val="000000"/>
                <w:sz w:val="18"/>
                <w:szCs w:val="18"/>
              </w:rPr>
              <w:t>符合下列条件之一：</w:t>
            </w:r>
          </w:p>
          <w:p>
            <w:pPr>
              <w:adjustRightInd w:val="0"/>
              <w:snapToGrid w:val="0"/>
              <w:spacing w:beforeLines="10" w:afterLines="10" w:line="240" w:lineRule="exact"/>
              <w:rPr>
                <w:rFonts w:ascii="宋体"/>
                <w:color w:val="000000"/>
                <w:kern w:val="0"/>
                <w:sz w:val="18"/>
                <w:szCs w:val="18"/>
              </w:rPr>
            </w:pPr>
            <w:r>
              <w:rPr>
                <w:rFonts w:hint="eastAsia"/>
                <w:color w:val="000000"/>
                <w:sz w:val="18"/>
                <w:szCs w:val="18"/>
              </w:rPr>
              <w:t>①积极进行实验教学改革，主持有改进的实验项目或自制的实验装置；②</w:t>
            </w:r>
            <w:r>
              <w:rPr>
                <w:color w:val="000000"/>
                <w:sz w:val="18"/>
                <w:szCs w:val="18"/>
              </w:rPr>
              <w:t>积极创造条件进行实验室开放</w:t>
            </w:r>
            <w:r>
              <w:rPr>
                <w:rFonts w:hint="eastAsia"/>
                <w:color w:val="000000"/>
                <w:sz w:val="18"/>
                <w:szCs w:val="18"/>
              </w:rPr>
              <w:t>，长期负责实验室对外开放工作，开放记录完整；③参与实验室的专项计划建设等工作，完成情况好。</w:t>
            </w:r>
          </w:p>
        </w:tc>
        <w:tc>
          <w:tcPr>
            <w:tcW w:w="2073"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①参与实验方法改革、实验装置的设计和改进等；②能够按计划参与实验室对外开放工作，有记录；③积极参与实验室建设的其它工作。</w:t>
            </w:r>
          </w:p>
        </w:tc>
        <w:tc>
          <w:tcPr>
            <w:tcW w:w="1705"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①参加实验室教学改革和实验室建设等工作；②实验室有开放制度，能够对外开放。</w:t>
            </w:r>
          </w:p>
        </w:tc>
        <w:tc>
          <w:tcPr>
            <w:tcW w:w="1336"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line="240" w:lineRule="exact"/>
              <w:rPr>
                <w:rFonts w:ascii="宋体"/>
                <w:color w:val="000000"/>
                <w:kern w:val="0"/>
                <w:sz w:val="18"/>
                <w:szCs w:val="18"/>
              </w:rPr>
            </w:pPr>
            <w:r>
              <w:rPr>
                <w:rFonts w:hint="eastAsia" w:ascii="宋体"/>
                <w:color w:val="000000"/>
                <w:kern w:val="0"/>
                <w:sz w:val="18"/>
                <w:szCs w:val="18"/>
              </w:rPr>
              <w:t>不能完成领导分配的实验室建设工作。</w:t>
            </w: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color w:val="000000"/>
                <w:sz w:val="18"/>
                <w:szCs w:val="18"/>
              </w:rPr>
            </w:pPr>
            <w:r>
              <w:rPr>
                <w:rFonts w:hint="eastAsia"/>
                <w:color w:val="000000"/>
                <w:sz w:val="18"/>
                <w:szCs w:val="18"/>
              </w:rPr>
              <w:t>5</w:t>
            </w:r>
          </w:p>
        </w:tc>
        <w:tc>
          <w:tcPr>
            <w:tcW w:w="314" w:type="dxa"/>
            <w:vMerge w:val="continue"/>
            <w:tcBorders>
              <w:top w:val="nil"/>
              <w:left w:val="nil"/>
              <w:bottom w:val="single" w:color="auto" w:sz="4" w:space="0"/>
              <w:right w:val="single" w:color="auto" w:sz="4" w:space="0"/>
            </w:tcBorders>
            <w:shd w:val="clear" w:color="auto" w:fill="auto"/>
            <w:vAlign w:val="center"/>
          </w:tcPr>
          <w:p>
            <w:pPr>
              <w:spacing w:line="240" w:lineRule="exact"/>
              <w:rPr>
                <w:sz w:val="20"/>
                <w:szCs w:val="20"/>
              </w:rPr>
            </w:pPr>
          </w:p>
        </w:tc>
        <w:tc>
          <w:tcPr>
            <w:tcW w:w="6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教学评价</w:t>
            </w:r>
          </w:p>
        </w:tc>
        <w:tc>
          <w:tcPr>
            <w:tcW w:w="6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15/3</w:t>
            </w:r>
          </w:p>
        </w:tc>
        <w:tc>
          <w:tcPr>
            <w:tcW w:w="3094"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z w:val="18"/>
                <w:szCs w:val="18"/>
              </w:rPr>
            </w:pPr>
            <w:r>
              <w:rPr>
                <w:rFonts w:hint="eastAsia"/>
                <w:color w:val="000000"/>
                <w:sz w:val="18"/>
                <w:szCs w:val="18"/>
              </w:rPr>
              <w:t>同行评教成绩优秀，或学生评教成绩在</w:t>
            </w:r>
            <w:r>
              <w:rPr>
                <w:color w:val="000000"/>
                <w:sz w:val="18"/>
                <w:szCs w:val="18"/>
              </w:rPr>
              <w:t>90</w:t>
            </w:r>
            <w:r>
              <w:rPr>
                <w:rFonts w:hint="eastAsia" w:ascii="宋体" w:hAnsi="宋体" w:cs="宋体"/>
                <w:color w:val="000000"/>
                <w:sz w:val="18"/>
                <w:szCs w:val="18"/>
              </w:rPr>
              <w:t>分以上。</w:t>
            </w:r>
          </w:p>
        </w:tc>
        <w:tc>
          <w:tcPr>
            <w:tcW w:w="2073"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z w:val="18"/>
                <w:szCs w:val="18"/>
              </w:rPr>
            </w:pPr>
            <w:r>
              <w:rPr>
                <w:rFonts w:hint="eastAsia"/>
                <w:color w:val="000000"/>
                <w:sz w:val="18"/>
                <w:szCs w:val="18"/>
              </w:rPr>
              <w:t>同行评教成绩良好，或学生评教成绩在</w:t>
            </w:r>
            <w:r>
              <w:rPr>
                <w:color w:val="000000"/>
                <w:sz w:val="18"/>
                <w:szCs w:val="18"/>
              </w:rPr>
              <w:t>80</w:t>
            </w:r>
            <w:r>
              <w:rPr>
                <w:rFonts w:hint="eastAsia" w:ascii="宋体" w:hAnsi="宋体" w:cs="宋体"/>
                <w:color w:val="000000"/>
                <w:sz w:val="18"/>
                <w:szCs w:val="18"/>
              </w:rPr>
              <w:t>分以上。</w:t>
            </w:r>
          </w:p>
        </w:tc>
        <w:tc>
          <w:tcPr>
            <w:tcW w:w="1705"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z w:val="18"/>
                <w:szCs w:val="18"/>
              </w:rPr>
            </w:pPr>
            <w:r>
              <w:rPr>
                <w:rFonts w:hint="eastAsia"/>
                <w:color w:val="000000"/>
                <w:sz w:val="18"/>
                <w:szCs w:val="18"/>
              </w:rPr>
              <w:t>同行评教成绩一般，或学生评教成绩在</w:t>
            </w:r>
            <w:r>
              <w:rPr>
                <w:color w:val="000000"/>
                <w:sz w:val="18"/>
                <w:szCs w:val="18"/>
              </w:rPr>
              <w:t>70</w:t>
            </w:r>
            <w:r>
              <w:rPr>
                <w:rFonts w:hint="eastAsia" w:ascii="宋体" w:hAnsi="宋体" w:cs="宋体"/>
                <w:color w:val="000000"/>
                <w:sz w:val="18"/>
                <w:szCs w:val="18"/>
              </w:rPr>
              <w:t>分以上。</w:t>
            </w:r>
          </w:p>
        </w:tc>
        <w:tc>
          <w:tcPr>
            <w:tcW w:w="1336"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z w:val="18"/>
                <w:szCs w:val="18"/>
              </w:rPr>
            </w:pPr>
            <w:r>
              <w:rPr>
                <w:rFonts w:hint="eastAsia"/>
                <w:color w:val="000000"/>
                <w:sz w:val="18"/>
                <w:szCs w:val="18"/>
              </w:rPr>
              <w:t>同行评教不合格，或学生评教成绩在</w:t>
            </w:r>
            <w:r>
              <w:rPr>
                <w:color w:val="000000"/>
                <w:sz w:val="18"/>
                <w:szCs w:val="18"/>
              </w:rPr>
              <w:t>60</w:t>
            </w:r>
            <w:r>
              <w:rPr>
                <w:rFonts w:hint="eastAsia" w:ascii="宋体" w:hAnsi="宋体" w:cs="宋体"/>
                <w:color w:val="000000"/>
                <w:sz w:val="18"/>
                <w:szCs w:val="18"/>
              </w:rPr>
              <w:t>分以上。</w:t>
            </w: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color w:val="000000"/>
                <w:sz w:val="18"/>
                <w:szCs w:val="18"/>
              </w:rPr>
            </w:pPr>
            <w:r>
              <w:rPr>
                <w:rFonts w:hint="eastAsia"/>
                <w:color w:val="000000"/>
                <w:sz w:val="18"/>
                <w:szCs w:val="18"/>
              </w:rPr>
              <w:t>6</w:t>
            </w:r>
          </w:p>
        </w:tc>
        <w:tc>
          <w:tcPr>
            <w:tcW w:w="314" w:type="dxa"/>
            <w:vMerge w:val="restart"/>
            <w:tcBorders>
              <w:top w:val="nil"/>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奖励项</w:t>
            </w:r>
          </w:p>
        </w:tc>
        <w:tc>
          <w:tcPr>
            <w:tcW w:w="6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论文教材</w:t>
            </w:r>
          </w:p>
        </w:tc>
        <w:tc>
          <w:tcPr>
            <w:tcW w:w="6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7/2</w:t>
            </w:r>
          </w:p>
        </w:tc>
        <w:tc>
          <w:tcPr>
            <w:tcW w:w="3094"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z w:val="18"/>
                <w:szCs w:val="18"/>
              </w:rPr>
            </w:pPr>
            <w:r>
              <w:rPr>
                <w:rFonts w:hint="eastAsia"/>
                <w:color w:val="000000"/>
                <w:sz w:val="18"/>
                <w:szCs w:val="18"/>
              </w:rPr>
              <w:t>符合下列条件之一：</w:t>
            </w:r>
          </w:p>
          <w:p>
            <w:pPr>
              <w:spacing w:beforeLines="10" w:afterLines="10" w:line="240" w:lineRule="exact"/>
              <w:rPr>
                <w:color w:val="000000"/>
                <w:sz w:val="18"/>
                <w:szCs w:val="18"/>
              </w:rPr>
            </w:pPr>
            <w:r>
              <w:rPr>
                <w:rFonts w:hint="eastAsia"/>
                <w:color w:val="000000"/>
                <w:sz w:val="18"/>
                <w:szCs w:val="18"/>
              </w:rPr>
              <w:t>①有第</w:t>
            </w:r>
            <w:r>
              <w:rPr>
                <w:color w:val="000000"/>
                <w:sz w:val="18"/>
                <w:szCs w:val="18"/>
              </w:rPr>
              <w:t>1</w:t>
            </w:r>
            <w:r>
              <w:rPr>
                <w:rFonts w:hint="eastAsia" w:ascii="宋体" w:hAnsi="宋体" w:cs="宋体"/>
                <w:color w:val="000000"/>
                <w:sz w:val="18"/>
                <w:szCs w:val="18"/>
              </w:rPr>
              <w:t>名在</w:t>
            </w:r>
            <w:r>
              <w:rPr>
                <w:color w:val="000000"/>
                <w:sz w:val="18"/>
                <w:szCs w:val="18"/>
              </w:rPr>
              <w:t>CN</w:t>
            </w:r>
            <w:r>
              <w:rPr>
                <w:rFonts w:hint="eastAsia" w:ascii="宋体" w:hAnsi="宋体" w:cs="宋体"/>
                <w:color w:val="000000"/>
                <w:sz w:val="18"/>
                <w:szCs w:val="18"/>
              </w:rPr>
              <w:t>刊物发表的实验教学论文；② 有主编、副主编出版的统编实验教材；</w:t>
            </w:r>
            <w:r>
              <w:rPr>
                <w:rFonts w:hint="eastAsia" w:ascii="宋体" w:hAnsi="宋体"/>
                <w:color w:val="000000"/>
                <w:sz w:val="18"/>
                <w:szCs w:val="18"/>
              </w:rPr>
              <w:t>③有</w:t>
            </w:r>
            <w:r>
              <w:rPr>
                <w:rFonts w:hint="eastAsia"/>
                <w:color w:val="000000"/>
                <w:sz w:val="18"/>
                <w:szCs w:val="18"/>
              </w:rPr>
              <w:t>出版的专著。</w:t>
            </w:r>
          </w:p>
        </w:tc>
        <w:tc>
          <w:tcPr>
            <w:tcW w:w="2073"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z w:val="18"/>
                <w:szCs w:val="18"/>
              </w:rPr>
            </w:pPr>
            <w:r>
              <w:rPr>
                <w:rFonts w:hint="eastAsia"/>
                <w:color w:val="000000"/>
                <w:sz w:val="18"/>
                <w:szCs w:val="18"/>
              </w:rPr>
              <w:t>符合条件之一：</w:t>
            </w:r>
          </w:p>
          <w:p>
            <w:pPr>
              <w:spacing w:beforeLines="10" w:afterLines="10" w:line="240" w:lineRule="exact"/>
              <w:rPr>
                <w:color w:val="000000"/>
                <w:sz w:val="18"/>
                <w:szCs w:val="18"/>
              </w:rPr>
            </w:pPr>
            <w:r>
              <w:rPr>
                <w:rFonts w:hint="eastAsia"/>
                <w:color w:val="000000"/>
                <w:sz w:val="18"/>
                <w:szCs w:val="18"/>
              </w:rPr>
              <w:t>①有公开发表的实验教学论文；</w:t>
            </w:r>
            <w:r>
              <w:rPr>
                <w:rFonts w:hint="eastAsia" w:ascii="宋体" w:hAnsi="宋体"/>
                <w:color w:val="000000"/>
                <w:sz w:val="18"/>
                <w:szCs w:val="18"/>
              </w:rPr>
              <w:t>②有参编正式出版的</w:t>
            </w:r>
            <w:r>
              <w:rPr>
                <w:rFonts w:hint="eastAsia"/>
                <w:color w:val="000000"/>
                <w:sz w:val="18"/>
                <w:szCs w:val="18"/>
              </w:rPr>
              <w:t>实验教材。</w:t>
            </w:r>
          </w:p>
        </w:tc>
        <w:tc>
          <w:tcPr>
            <w:tcW w:w="1705"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z w:val="18"/>
                <w:szCs w:val="18"/>
              </w:rPr>
            </w:pPr>
            <w:r>
              <w:rPr>
                <w:rFonts w:hint="eastAsia"/>
                <w:color w:val="000000"/>
                <w:sz w:val="18"/>
                <w:szCs w:val="18"/>
              </w:rPr>
              <w:t>符合条件之一：</w:t>
            </w:r>
          </w:p>
          <w:p>
            <w:pPr>
              <w:spacing w:beforeLines="10" w:afterLines="10" w:line="240" w:lineRule="exact"/>
              <w:rPr>
                <w:color w:val="000000"/>
                <w:sz w:val="18"/>
                <w:szCs w:val="18"/>
              </w:rPr>
            </w:pPr>
            <w:r>
              <w:rPr>
                <w:rFonts w:hint="eastAsia"/>
                <w:color w:val="000000"/>
                <w:spacing w:val="-6"/>
                <w:sz w:val="18"/>
                <w:szCs w:val="18"/>
              </w:rPr>
              <w:t>①有实验教学研究论文或报告；②有参编的自用实验教材。</w:t>
            </w:r>
          </w:p>
        </w:tc>
        <w:tc>
          <w:tcPr>
            <w:tcW w:w="1336"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z w:val="18"/>
                <w:szCs w:val="18"/>
              </w:rPr>
            </w:pPr>
            <w:r>
              <w:rPr>
                <w:rFonts w:hint="eastAsia"/>
                <w:color w:val="000000"/>
                <w:sz w:val="18"/>
                <w:szCs w:val="18"/>
              </w:rPr>
              <w:t>对实验教学提出有合理化建议。</w:t>
            </w:r>
          </w:p>
        </w:tc>
        <w:tc>
          <w:tcPr>
            <w:tcW w:w="369" w:type="dxa"/>
            <w:tcBorders>
              <w:top w:val="single" w:color="auto" w:sz="4" w:space="0"/>
              <w:left w:val="nil"/>
              <w:bottom w:val="single" w:color="auto" w:sz="4" w:space="0"/>
              <w:right w:val="single" w:color="auto" w:sz="4" w:space="0"/>
            </w:tcBorders>
            <w:shd w:val="clear" w:color="auto" w:fill="auto"/>
          </w:tcPr>
          <w:p>
            <w:pPr>
              <w:adjustRightInd w:val="0"/>
              <w:snapToGrid w:val="0"/>
              <w:spacing w:beforeLines="10" w:afterLines="10"/>
              <w:rPr>
                <w:rFonts w:ascii="宋体"/>
                <w:color w:val="000000"/>
                <w:kern w:val="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color w:val="000000"/>
                <w:sz w:val="18"/>
                <w:szCs w:val="18"/>
              </w:rPr>
            </w:pPr>
            <w:r>
              <w:rPr>
                <w:rFonts w:hint="eastAsia"/>
                <w:color w:val="000000"/>
                <w:sz w:val="18"/>
                <w:szCs w:val="18"/>
              </w:rPr>
              <w:t>7</w:t>
            </w:r>
          </w:p>
        </w:tc>
        <w:tc>
          <w:tcPr>
            <w:tcW w:w="314" w:type="dxa"/>
            <w:vMerge w:val="continue"/>
            <w:tcBorders>
              <w:top w:val="nil"/>
              <w:left w:val="nil"/>
              <w:bottom w:val="single" w:color="auto" w:sz="4" w:space="0"/>
              <w:right w:val="single" w:color="auto" w:sz="4" w:space="0"/>
            </w:tcBorders>
            <w:shd w:val="clear" w:color="auto" w:fill="auto"/>
            <w:vAlign w:val="center"/>
          </w:tcPr>
          <w:p>
            <w:pPr>
              <w:spacing w:line="240" w:lineRule="exact"/>
              <w:rPr>
                <w:sz w:val="20"/>
                <w:szCs w:val="20"/>
              </w:rPr>
            </w:pPr>
          </w:p>
        </w:tc>
        <w:tc>
          <w:tcPr>
            <w:tcW w:w="6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成果项目</w:t>
            </w:r>
          </w:p>
        </w:tc>
        <w:tc>
          <w:tcPr>
            <w:tcW w:w="6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7/2</w:t>
            </w:r>
          </w:p>
        </w:tc>
        <w:tc>
          <w:tcPr>
            <w:tcW w:w="3094"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z w:val="18"/>
                <w:szCs w:val="18"/>
              </w:rPr>
            </w:pPr>
            <w:r>
              <w:rPr>
                <w:rFonts w:hint="eastAsia"/>
                <w:color w:val="000000"/>
                <w:sz w:val="18"/>
                <w:szCs w:val="18"/>
              </w:rPr>
              <w:t>符合下列条件之一：</w:t>
            </w:r>
          </w:p>
          <w:p>
            <w:pPr>
              <w:spacing w:beforeLines="10" w:afterLines="10" w:line="240" w:lineRule="exact"/>
              <w:rPr>
                <w:rFonts w:ascii="宋体" w:hAnsi="宋体"/>
                <w:color w:val="000000"/>
                <w:sz w:val="18"/>
                <w:szCs w:val="18"/>
              </w:rPr>
            </w:pPr>
            <w:r>
              <w:rPr>
                <w:rFonts w:hint="eastAsia"/>
                <w:color w:val="000000"/>
                <w:sz w:val="18"/>
                <w:szCs w:val="18"/>
              </w:rPr>
              <w:t>①获得省级以上教研成果或校级教研成果一等奖主要完成人；</w:t>
            </w:r>
            <w:r>
              <w:rPr>
                <w:rFonts w:hint="eastAsia" w:ascii="宋体" w:hAnsi="宋体"/>
                <w:color w:val="000000"/>
                <w:sz w:val="18"/>
                <w:szCs w:val="18"/>
              </w:rPr>
              <w:t>②参与省级以上教学研究项目，或主持校级教学研究项目。</w:t>
            </w:r>
          </w:p>
        </w:tc>
        <w:tc>
          <w:tcPr>
            <w:tcW w:w="2073"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z w:val="18"/>
                <w:szCs w:val="18"/>
              </w:rPr>
            </w:pPr>
            <w:r>
              <w:rPr>
                <w:rFonts w:hint="eastAsia"/>
                <w:color w:val="000000"/>
                <w:sz w:val="18"/>
                <w:szCs w:val="18"/>
              </w:rPr>
              <w:t>符合下列条件之一：</w:t>
            </w:r>
          </w:p>
          <w:p>
            <w:pPr>
              <w:spacing w:beforeLines="10" w:afterLines="10" w:line="240" w:lineRule="exact"/>
              <w:rPr>
                <w:color w:val="000000"/>
                <w:sz w:val="18"/>
                <w:szCs w:val="18"/>
              </w:rPr>
            </w:pPr>
            <w:r>
              <w:rPr>
                <w:rFonts w:hint="eastAsia"/>
                <w:color w:val="000000"/>
                <w:sz w:val="18"/>
                <w:szCs w:val="18"/>
              </w:rPr>
              <w:t>①校级教学研究成果主要完成人；②主持校级创新或实验开放项目；</w:t>
            </w:r>
          </w:p>
        </w:tc>
        <w:tc>
          <w:tcPr>
            <w:tcW w:w="1705"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pacing w:val="-6"/>
                <w:sz w:val="18"/>
                <w:szCs w:val="18"/>
              </w:rPr>
            </w:pPr>
            <w:r>
              <w:rPr>
                <w:rFonts w:hint="eastAsia"/>
                <w:color w:val="000000"/>
                <w:spacing w:val="-6"/>
                <w:sz w:val="18"/>
                <w:szCs w:val="18"/>
              </w:rPr>
              <w:t>符合下列条件之一：</w:t>
            </w:r>
          </w:p>
          <w:p>
            <w:pPr>
              <w:spacing w:beforeLines="10" w:afterLines="10" w:line="240" w:lineRule="exact"/>
              <w:rPr>
                <w:color w:val="000000"/>
                <w:sz w:val="18"/>
                <w:szCs w:val="18"/>
              </w:rPr>
            </w:pPr>
            <w:r>
              <w:rPr>
                <w:rFonts w:hint="eastAsia"/>
                <w:color w:val="000000"/>
                <w:sz w:val="18"/>
                <w:szCs w:val="18"/>
              </w:rPr>
              <w:t>①院级教研成果主要完成人；②参与校级教学研究项目。</w:t>
            </w:r>
          </w:p>
        </w:tc>
        <w:tc>
          <w:tcPr>
            <w:tcW w:w="1336" w:type="dxa"/>
            <w:tcBorders>
              <w:top w:val="single" w:color="auto" w:sz="4" w:space="0"/>
              <w:left w:val="nil"/>
              <w:bottom w:val="single" w:color="auto" w:sz="4" w:space="0"/>
              <w:right w:val="single" w:color="auto" w:sz="4" w:space="0"/>
            </w:tcBorders>
            <w:shd w:val="clear" w:color="auto" w:fill="auto"/>
          </w:tcPr>
          <w:p>
            <w:pPr>
              <w:spacing w:beforeLines="10" w:afterLines="10" w:line="240" w:lineRule="exact"/>
              <w:rPr>
                <w:color w:val="000000"/>
                <w:sz w:val="18"/>
                <w:szCs w:val="18"/>
              </w:rPr>
            </w:pPr>
            <w:r>
              <w:rPr>
                <w:rFonts w:hint="eastAsia"/>
                <w:color w:val="000000"/>
                <w:sz w:val="18"/>
                <w:szCs w:val="18"/>
              </w:rPr>
              <w:t>主持院级实验创新或实验室开放项目，有结题报告。</w:t>
            </w: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color w:val="000000"/>
                <w:sz w:val="18"/>
                <w:szCs w:val="18"/>
              </w:rPr>
            </w:pPr>
            <w:r>
              <w:rPr>
                <w:rFonts w:hint="eastAsia"/>
                <w:color w:val="000000"/>
                <w:sz w:val="18"/>
                <w:szCs w:val="18"/>
              </w:rPr>
              <w:t>8</w:t>
            </w:r>
          </w:p>
        </w:tc>
        <w:tc>
          <w:tcPr>
            <w:tcW w:w="314" w:type="dxa"/>
            <w:vMerge w:val="continue"/>
            <w:tcBorders>
              <w:top w:val="nil"/>
              <w:left w:val="nil"/>
              <w:bottom w:val="single" w:color="auto" w:sz="4" w:space="0"/>
              <w:right w:val="single" w:color="auto" w:sz="4" w:space="0"/>
            </w:tcBorders>
            <w:shd w:val="clear" w:color="auto" w:fill="auto"/>
            <w:vAlign w:val="center"/>
          </w:tcPr>
          <w:p>
            <w:pPr>
              <w:spacing w:line="240" w:lineRule="exact"/>
              <w:rPr>
                <w:sz w:val="20"/>
                <w:szCs w:val="20"/>
              </w:rPr>
            </w:pPr>
          </w:p>
        </w:tc>
        <w:tc>
          <w:tcPr>
            <w:tcW w:w="6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获得荣誉</w:t>
            </w:r>
          </w:p>
        </w:tc>
        <w:tc>
          <w:tcPr>
            <w:tcW w:w="6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000000"/>
                <w:sz w:val="18"/>
                <w:szCs w:val="18"/>
              </w:rPr>
            </w:pPr>
            <w:r>
              <w:rPr>
                <w:rFonts w:hint="eastAsia"/>
                <w:color w:val="000000"/>
                <w:sz w:val="18"/>
                <w:szCs w:val="18"/>
              </w:rPr>
              <w:t>6/2</w:t>
            </w:r>
          </w:p>
        </w:tc>
        <w:tc>
          <w:tcPr>
            <w:tcW w:w="3094"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z w:val="18"/>
                <w:szCs w:val="18"/>
              </w:rPr>
            </w:pPr>
            <w:r>
              <w:rPr>
                <w:rFonts w:hint="eastAsia"/>
                <w:color w:val="000000"/>
                <w:sz w:val="18"/>
                <w:szCs w:val="18"/>
              </w:rPr>
              <w:t>获得市（厅）级以上先进个人奖励或表彰。</w:t>
            </w:r>
          </w:p>
        </w:tc>
        <w:tc>
          <w:tcPr>
            <w:tcW w:w="2073"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z w:val="18"/>
                <w:szCs w:val="18"/>
              </w:rPr>
            </w:pPr>
            <w:r>
              <w:rPr>
                <w:rFonts w:hint="eastAsia"/>
                <w:color w:val="000000"/>
                <w:sz w:val="18"/>
                <w:szCs w:val="18"/>
              </w:rPr>
              <w:t>获得学校先进个人奖励或表彰。</w:t>
            </w:r>
          </w:p>
        </w:tc>
        <w:tc>
          <w:tcPr>
            <w:tcW w:w="1705"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pacing w:val="-8"/>
                <w:sz w:val="18"/>
                <w:szCs w:val="18"/>
              </w:rPr>
            </w:pPr>
            <w:r>
              <w:rPr>
                <w:rFonts w:hint="eastAsia"/>
                <w:color w:val="000000"/>
                <w:spacing w:val="-8"/>
                <w:sz w:val="18"/>
                <w:szCs w:val="18"/>
              </w:rPr>
              <w:t>获得院级先进个人奖励或表彰。</w:t>
            </w:r>
          </w:p>
        </w:tc>
        <w:tc>
          <w:tcPr>
            <w:tcW w:w="1336" w:type="dxa"/>
            <w:tcBorders>
              <w:top w:val="single" w:color="auto" w:sz="4" w:space="0"/>
              <w:left w:val="nil"/>
              <w:bottom w:val="single" w:color="auto" w:sz="4" w:space="0"/>
              <w:right w:val="single" w:color="auto" w:sz="4" w:space="0"/>
            </w:tcBorders>
            <w:shd w:val="clear" w:color="auto" w:fill="auto"/>
            <w:vAlign w:val="center"/>
          </w:tcPr>
          <w:p>
            <w:pPr>
              <w:spacing w:beforeLines="10" w:afterLines="10" w:line="240" w:lineRule="exact"/>
              <w:rPr>
                <w:color w:val="000000"/>
                <w:sz w:val="18"/>
                <w:szCs w:val="18"/>
              </w:rPr>
            </w:pP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10" w:afterLines="1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20" w:afterLines="20"/>
              <w:rPr>
                <w:rFonts w:ascii="宋体"/>
                <w:color w:val="000000"/>
                <w:kern w:val="0"/>
                <w:sz w:val="18"/>
                <w:szCs w:val="18"/>
              </w:rPr>
            </w:pPr>
            <w:r>
              <w:rPr>
                <w:rFonts w:hint="eastAsia" w:ascii="宋体"/>
                <w:color w:val="000000"/>
                <w:kern w:val="0"/>
                <w:sz w:val="18"/>
                <w:szCs w:val="18"/>
              </w:rPr>
              <w:t>9</w:t>
            </w:r>
          </w:p>
        </w:tc>
        <w:tc>
          <w:tcPr>
            <w:tcW w:w="92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20" w:afterLines="20"/>
              <w:jc w:val="center"/>
              <w:rPr>
                <w:rFonts w:ascii="宋体"/>
                <w:color w:val="000000"/>
                <w:kern w:val="0"/>
                <w:sz w:val="18"/>
                <w:szCs w:val="18"/>
              </w:rPr>
            </w:pPr>
            <w:r>
              <w:rPr>
                <w:rFonts w:hint="eastAsia" w:ascii="宋体"/>
                <w:color w:val="000000"/>
                <w:kern w:val="0"/>
                <w:sz w:val="18"/>
                <w:szCs w:val="18"/>
              </w:rPr>
              <w:t>合计</w:t>
            </w:r>
          </w:p>
        </w:tc>
        <w:tc>
          <w:tcPr>
            <w:tcW w:w="6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20" w:afterLines="20"/>
              <w:rPr>
                <w:rFonts w:ascii="宋体"/>
                <w:color w:val="000000"/>
                <w:kern w:val="0"/>
                <w:sz w:val="18"/>
                <w:szCs w:val="18"/>
              </w:rPr>
            </w:pPr>
            <w:r>
              <w:rPr>
                <w:rFonts w:hint="eastAsia" w:ascii="宋体"/>
                <w:color w:val="000000"/>
                <w:kern w:val="0"/>
                <w:sz w:val="18"/>
                <w:szCs w:val="18"/>
              </w:rPr>
              <w:t>100</w:t>
            </w:r>
          </w:p>
        </w:tc>
        <w:tc>
          <w:tcPr>
            <w:tcW w:w="8208"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20" w:afterLines="20"/>
              <w:rPr>
                <w:rFonts w:ascii="宋体"/>
                <w:color w:val="000000"/>
                <w:kern w:val="0"/>
                <w:sz w:val="18"/>
                <w:szCs w:val="18"/>
              </w:rPr>
            </w:pPr>
          </w:p>
        </w:tc>
        <w:tc>
          <w:tcPr>
            <w:tcW w:w="3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20" w:afterLines="20"/>
              <w:rPr>
                <w:rFonts w:ascii="宋体"/>
                <w:color w:val="000000"/>
                <w:kern w:val="0"/>
                <w:sz w:val="18"/>
                <w:szCs w:val="18"/>
              </w:rPr>
            </w:pPr>
          </w:p>
        </w:tc>
        <w:tc>
          <w:tcPr>
            <w:tcW w:w="3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20" w:afterLines="20"/>
              <w:rPr>
                <w:rFonts w:ascii="宋体"/>
                <w:color w:val="000000"/>
                <w:kern w:val="0"/>
                <w:sz w:val="18"/>
                <w:szCs w:val="18"/>
              </w:rPr>
            </w:pPr>
          </w:p>
        </w:tc>
      </w:tr>
    </w:tbl>
    <w:p>
      <w:pPr>
        <w:rPr>
          <w:rFonts w:ascii="宋体" w:hAnsi="宋体"/>
          <w:b/>
          <w:color w:val="000000"/>
          <w:sz w:val="28"/>
          <w:szCs w:val="28"/>
        </w:rPr>
        <w:sectPr>
          <w:pgSz w:w="11906" w:h="16838"/>
          <w:pgMar w:top="1417" w:right="1134" w:bottom="850" w:left="1134" w:header="720" w:footer="907" w:gutter="0"/>
          <w:cols w:space="0" w:num="1"/>
          <w:docGrid w:type="lines" w:linePitch="312" w:charSpace="0"/>
        </w:sectPr>
      </w:pPr>
    </w:p>
    <w:p>
      <w:pPr>
        <w:rPr>
          <w:rFonts w:ascii="仿宋_GB2312" w:hAnsi="宋体" w:eastAsia="仿宋_GB2312"/>
          <w:color w:val="000000"/>
          <w:sz w:val="32"/>
          <w:szCs w:val="32"/>
        </w:rPr>
        <w:sectPr>
          <w:type w:val="continuous"/>
          <w:pgSz w:w="11906" w:h="16838"/>
          <w:pgMar w:top="1701" w:right="1134" w:bottom="1134" w:left="1134" w:header="720" w:footer="1134" w:gutter="0"/>
          <w:cols w:space="0" w:num="1"/>
          <w:docGrid w:type="lines" w:linePitch="312" w:charSpace="0"/>
        </w:sectPr>
      </w:pPr>
    </w:p>
    <w:p>
      <w:pPr>
        <w:spacing w:line="380" w:lineRule="exact"/>
        <w:rPr>
          <w:rFonts w:ascii="黑体" w:hAnsi="黑体" w:eastAsia="黑体" w:cs="黑体"/>
          <w:color w:val="000000"/>
          <w:sz w:val="32"/>
          <w:szCs w:val="32"/>
        </w:rPr>
      </w:pPr>
      <w:r>
        <w:rPr>
          <w:rFonts w:hint="eastAsia" w:ascii="黑体" w:hAnsi="黑体" w:eastAsia="黑体" w:cs="黑体"/>
          <w:color w:val="000000"/>
          <w:sz w:val="32"/>
          <w:szCs w:val="32"/>
        </w:rPr>
        <w:t>附件4</w:t>
      </w:r>
    </w:p>
    <w:p>
      <w:pPr>
        <w:spacing w:line="500" w:lineRule="exact"/>
        <w:jc w:val="center"/>
        <w:rPr>
          <w:rFonts w:ascii="宋体" w:hAnsi="宋体" w:cs="宋体"/>
          <w:b/>
          <w:color w:val="000000"/>
          <w:spacing w:val="-20"/>
          <w:sz w:val="44"/>
          <w:szCs w:val="44"/>
        </w:rPr>
      </w:pPr>
    </w:p>
    <w:p>
      <w:pPr>
        <w:spacing w:line="500" w:lineRule="exact"/>
        <w:jc w:val="center"/>
        <w:rPr>
          <w:rFonts w:ascii="方正小标宋简体" w:hAnsi="方正小标宋简体" w:eastAsia="方正小标宋简体" w:cs="方正小标宋简体"/>
          <w:bCs/>
          <w:color w:val="000000"/>
          <w:spacing w:val="-20"/>
          <w:sz w:val="44"/>
          <w:szCs w:val="44"/>
        </w:rPr>
      </w:pPr>
      <w:r>
        <w:rPr>
          <w:rFonts w:hint="eastAsia" w:ascii="方正小标宋简体" w:hAnsi="方正小标宋简体" w:eastAsia="方正小标宋简体" w:cs="方正小标宋简体"/>
          <w:bCs/>
          <w:color w:val="000000"/>
          <w:spacing w:val="-20"/>
          <w:sz w:val="44"/>
          <w:szCs w:val="44"/>
        </w:rPr>
        <w:t>河 南 农 业 大 学</w:t>
      </w:r>
    </w:p>
    <w:p>
      <w:pPr>
        <w:spacing w:line="5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u w:val="single"/>
        </w:rPr>
        <w:t xml:space="preserve">       </w:t>
      </w:r>
      <w:r>
        <w:rPr>
          <w:rFonts w:hint="eastAsia" w:ascii="方正小标宋简体" w:hAnsi="方正小标宋简体" w:eastAsia="方正小标宋简体" w:cs="方正小标宋简体"/>
          <w:bCs/>
          <w:color w:val="000000"/>
          <w:sz w:val="44"/>
          <w:szCs w:val="44"/>
        </w:rPr>
        <w:t>年度教学质量考评结果汇总表</w:t>
      </w:r>
    </w:p>
    <w:p>
      <w:pPr>
        <w:spacing w:beforeLines="50"/>
        <w:rPr>
          <w:color w:val="000000"/>
          <w:sz w:val="24"/>
        </w:rPr>
      </w:pPr>
      <w:r>
        <w:rPr>
          <w:rFonts w:hint="eastAsia"/>
          <w:color w:val="000000"/>
          <w:sz w:val="24"/>
        </w:rPr>
        <w:t xml:space="preserve"> </w:t>
      </w:r>
    </w:p>
    <w:p>
      <w:pPr>
        <w:spacing w:beforeLines="50"/>
        <w:ind w:firstLine="480" w:firstLineChars="200"/>
        <w:rPr>
          <w:color w:val="000000"/>
          <w:sz w:val="24"/>
        </w:rPr>
      </w:pPr>
      <w:r>
        <w:rPr>
          <w:rFonts w:hint="eastAsia" w:ascii="宋体" w:hAnsi="宋体" w:cs="宋体"/>
          <w:color w:val="000000"/>
          <w:sz w:val="24"/>
        </w:rPr>
        <w:t>学院（盖章）：</w:t>
      </w:r>
      <w:r>
        <w:rPr>
          <w:rFonts w:hint="eastAsia"/>
          <w:color w:val="000000"/>
          <w:sz w:val="24"/>
        </w:rPr>
        <w:t xml:space="preserve">                 </w:t>
      </w:r>
      <w:r>
        <w:rPr>
          <w:rFonts w:hint="eastAsia" w:ascii="宋体" w:hAnsi="宋体" w:cs="宋体"/>
          <w:color w:val="000000"/>
          <w:sz w:val="24"/>
        </w:rPr>
        <w:t>领导（签字）：</w:t>
      </w:r>
      <w:r>
        <w:rPr>
          <w:rFonts w:hint="eastAsia"/>
          <w:color w:val="000000"/>
          <w:sz w:val="24"/>
        </w:rPr>
        <w:t xml:space="preserve">           </w:t>
      </w:r>
      <w:r>
        <w:rPr>
          <w:rFonts w:hint="eastAsia" w:ascii="宋体" w:hAnsi="宋体" w:cs="宋体"/>
          <w:color w:val="000000"/>
          <w:sz w:val="24"/>
        </w:rPr>
        <w:t>时间：</w:t>
      </w:r>
      <w:r>
        <w:rPr>
          <w:rFonts w:hint="eastAsia"/>
          <w:color w:val="000000"/>
          <w:sz w:val="24"/>
        </w:rPr>
        <w:t xml:space="preserve">   </w:t>
      </w:r>
      <w:r>
        <w:rPr>
          <w:rFonts w:hint="eastAsia" w:ascii="宋体" w:hAnsi="宋体" w:cs="宋体"/>
          <w:color w:val="000000"/>
          <w:sz w:val="24"/>
        </w:rPr>
        <w:t>年</w:t>
      </w:r>
      <w:r>
        <w:rPr>
          <w:rFonts w:hint="eastAsia"/>
          <w:color w:val="000000"/>
          <w:sz w:val="24"/>
        </w:rPr>
        <w:t xml:space="preserve">  </w:t>
      </w:r>
      <w:r>
        <w:rPr>
          <w:rFonts w:hint="eastAsia" w:ascii="宋体" w:hAnsi="宋体" w:cs="宋体"/>
          <w:color w:val="000000"/>
          <w:sz w:val="24"/>
        </w:rPr>
        <w:t>月</w:t>
      </w:r>
      <w:r>
        <w:rPr>
          <w:rFonts w:hint="eastAsia"/>
          <w:color w:val="000000"/>
          <w:sz w:val="24"/>
        </w:rPr>
        <w:t xml:space="preserve">  </w:t>
      </w:r>
      <w:r>
        <w:rPr>
          <w:rFonts w:hint="eastAsia" w:ascii="宋体" w:hAnsi="宋体" w:cs="宋体"/>
          <w:color w:val="000000"/>
          <w:sz w:val="24"/>
        </w:rPr>
        <w:t>日</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72"/>
        <w:gridCol w:w="1022"/>
        <w:gridCol w:w="746"/>
        <w:gridCol w:w="1596"/>
        <w:gridCol w:w="1428"/>
        <w:gridCol w:w="35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shd w:val="clear" w:color="auto" w:fill="auto"/>
          </w:tcPr>
          <w:p>
            <w:pPr>
              <w:spacing w:beforeLines="20" w:afterLines="20"/>
              <w:jc w:val="center"/>
              <w:rPr>
                <w:color w:val="000000"/>
                <w:sz w:val="24"/>
              </w:rPr>
            </w:pPr>
            <w:r>
              <w:rPr>
                <w:rFonts w:hint="eastAsia"/>
                <w:color w:val="000000"/>
                <w:sz w:val="24"/>
              </w:rPr>
              <w:t>序号</w:t>
            </w:r>
          </w:p>
        </w:tc>
        <w:tc>
          <w:tcPr>
            <w:tcW w:w="2094" w:type="dxa"/>
            <w:gridSpan w:val="2"/>
            <w:tcBorders>
              <w:top w:val="single" w:color="auto" w:sz="4" w:space="0"/>
              <w:left w:val="nil"/>
              <w:bottom w:val="single" w:color="auto" w:sz="4" w:space="0"/>
              <w:right w:val="single" w:color="auto" w:sz="4" w:space="0"/>
            </w:tcBorders>
            <w:shd w:val="clear" w:color="auto" w:fill="auto"/>
          </w:tcPr>
          <w:p>
            <w:pPr>
              <w:spacing w:beforeLines="20" w:afterLines="20"/>
              <w:jc w:val="center"/>
              <w:rPr>
                <w:color w:val="000000"/>
                <w:sz w:val="24"/>
              </w:rPr>
            </w:pPr>
            <w:r>
              <w:rPr>
                <w:rFonts w:hint="eastAsia"/>
                <w:color w:val="000000"/>
                <w:sz w:val="24"/>
              </w:rPr>
              <w:t>姓名</w:t>
            </w:r>
          </w:p>
        </w:tc>
        <w:tc>
          <w:tcPr>
            <w:tcW w:w="2342" w:type="dxa"/>
            <w:gridSpan w:val="2"/>
            <w:tcBorders>
              <w:top w:val="single" w:color="auto" w:sz="4" w:space="0"/>
              <w:left w:val="nil"/>
              <w:bottom w:val="single" w:color="auto" w:sz="4" w:space="0"/>
              <w:right w:val="single" w:color="auto" w:sz="4" w:space="0"/>
            </w:tcBorders>
            <w:shd w:val="clear" w:color="auto" w:fill="auto"/>
          </w:tcPr>
          <w:p>
            <w:pPr>
              <w:spacing w:beforeLines="20" w:afterLines="20"/>
              <w:jc w:val="center"/>
              <w:rPr>
                <w:color w:val="000000"/>
                <w:sz w:val="24"/>
              </w:rPr>
            </w:pPr>
            <w:r>
              <w:rPr>
                <w:rFonts w:hint="eastAsia"/>
                <w:color w:val="000000"/>
                <w:sz w:val="24"/>
              </w:rPr>
              <w:t>系</w:t>
            </w:r>
          </w:p>
        </w:tc>
        <w:tc>
          <w:tcPr>
            <w:tcW w:w="1428" w:type="dxa"/>
            <w:tcBorders>
              <w:top w:val="single" w:color="auto" w:sz="4" w:space="0"/>
              <w:left w:val="nil"/>
              <w:bottom w:val="single" w:color="auto" w:sz="4" w:space="0"/>
              <w:right w:val="single" w:color="auto" w:sz="4" w:space="0"/>
            </w:tcBorders>
            <w:shd w:val="clear" w:color="auto" w:fill="auto"/>
          </w:tcPr>
          <w:p>
            <w:pPr>
              <w:spacing w:beforeLines="20" w:afterLines="20"/>
              <w:jc w:val="center"/>
              <w:rPr>
                <w:color w:val="000000"/>
                <w:sz w:val="24"/>
              </w:rPr>
            </w:pPr>
            <w:r>
              <w:rPr>
                <w:rFonts w:hint="eastAsia"/>
                <w:color w:val="000000"/>
                <w:sz w:val="24"/>
              </w:rPr>
              <w:t>考评结果</w:t>
            </w:r>
          </w:p>
        </w:tc>
        <w:tc>
          <w:tcPr>
            <w:tcW w:w="2330" w:type="dxa"/>
            <w:gridSpan w:val="2"/>
            <w:tcBorders>
              <w:top w:val="single" w:color="auto" w:sz="4" w:space="0"/>
              <w:left w:val="nil"/>
              <w:bottom w:val="single" w:color="auto" w:sz="4" w:space="0"/>
              <w:right w:val="single" w:color="auto" w:sz="4" w:space="0"/>
            </w:tcBorders>
            <w:shd w:val="clear" w:color="auto" w:fill="auto"/>
          </w:tcPr>
          <w:p>
            <w:pPr>
              <w:spacing w:beforeLines="20" w:afterLines="20"/>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color w:val="000000"/>
                <w:sz w:val="24"/>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4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c>
          <w:tcPr>
            <w:tcW w:w="2330"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72" w:type="dxa"/>
            <w:gridSpan w:val="8"/>
            <w:tcBorders>
              <w:top w:val="single" w:color="auto" w:sz="4" w:space="0"/>
              <w:left w:val="single" w:color="auto" w:sz="4" w:space="0"/>
              <w:bottom w:val="single" w:color="auto" w:sz="4" w:space="0"/>
              <w:right w:val="single" w:color="auto" w:sz="4" w:space="0"/>
            </w:tcBorders>
            <w:shd w:val="clear" w:color="auto" w:fill="auto"/>
          </w:tcPr>
          <w:p>
            <w:pPr>
              <w:spacing w:beforeLines="20" w:afterLines="20"/>
              <w:jc w:val="center"/>
              <w:rPr>
                <w:color w:val="000000"/>
                <w:sz w:val="24"/>
              </w:rPr>
            </w:pPr>
            <w:r>
              <w:rPr>
                <w:rFonts w:hint="eastAsia" w:cs="宋体"/>
                <w:color w:val="000000"/>
                <w:kern w:val="0"/>
                <w:sz w:val="24"/>
              </w:rPr>
              <w:t>学院综合考评结果统计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50" w:type="dxa"/>
            <w:gridSpan w:val="2"/>
            <w:vMerge w:val="restart"/>
            <w:tcBorders>
              <w:top w:val="nil"/>
              <w:left w:val="single" w:color="auto" w:sz="4" w:space="0"/>
              <w:bottom w:val="single" w:color="auto" w:sz="4" w:space="0"/>
              <w:right w:val="single" w:color="auto" w:sz="4" w:space="0"/>
            </w:tcBorders>
            <w:shd w:val="clear" w:color="auto" w:fill="auto"/>
            <w:vAlign w:val="center"/>
          </w:tcPr>
          <w:p>
            <w:pPr>
              <w:spacing w:beforeLines="20" w:afterLines="20"/>
              <w:jc w:val="center"/>
              <w:rPr>
                <w:rFonts w:cs="宋体"/>
                <w:color w:val="000000"/>
                <w:kern w:val="0"/>
                <w:sz w:val="24"/>
              </w:rPr>
            </w:pPr>
            <w:r>
              <w:rPr>
                <w:rFonts w:hint="eastAsia" w:cs="宋体"/>
                <w:color w:val="000000"/>
                <w:kern w:val="0"/>
                <w:sz w:val="24"/>
              </w:rPr>
              <w:t>参加考评</w:t>
            </w:r>
          </w:p>
          <w:p>
            <w:pPr>
              <w:spacing w:beforeLines="20" w:afterLines="20"/>
              <w:jc w:val="center"/>
              <w:rPr>
                <w:rFonts w:cs="宋体"/>
                <w:color w:val="000000"/>
                <w:kern w:val="0"/>
                <w:sz w:val="24"/>
              </w:rPr>
            </w:pPr>
            <w:r>
              <w:rPr>
                <w:rFonts w:hint="eastAsia" w:cs="宋体"/>
                <w:color w:val="000000"/>
                <w:kern w:val="0"/>
                <w:sz w:val="24"/>
              </w:rPr>
              <w:t>总人数</w:t>
            </w:r>
          </w:p>
        </w:tc>
        <w:tc>
          <w:tcPr>
            <w:tcW w:w="7122" w:type="dxa"/>
            <w:gridSpan w:val="6"/>
            <w:tcBorders>
              <w:top w:val="single" w:color="auto" w:sz="4" w:space="0"/>
              <w:left w:val="nil"/>
              <w:bottom w:val="single" w:color="auto" w:sz="4" w:space="0"/>
              <w:right w:val="single" w:color="auto" w:sz="4" w:space="0"/>
            </w:tcBorders>
            <w:shd w:val="clear" w:color="auto" w:fill="auto"/>
            <w:vAlign w:val="center"/>
          </w:tcPr>
          <w:p>
            <w:pPr>
              <w:spacing w:beforeLines="20" w:afterLines="20"/>
              <w:jc w:val="center"/>
              <w:rPr>
                <w:rFonts w:cs="宋体"/>
                <w:color w:val="000000"/>
                <w:kern w:val="0"/>
                <w:sz w:val="24"/>
              </w:rPr>
            </w:pPr>
            <w:r>
              <w:rPr>
                <w:rFonts w:hint="eastAsia" w:cs="宋体"/>
                <w:color w:val="000000"/>
                <w:kern w:val="0"/>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50"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68"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jc w:val="center"/>
              <w:rPr>
                <w:rFonts w:cs="宋体"/>
                <w:color w:val="000000"/>
                <w:kern w:val="0"/>
                <w:sz w:val="24"/>
              </w:rPr>
            </w:pPr>
            <w:r>
              <w:rPr>
                <w:rFonts w:hint="eastAsia" w:cs="宋体"/>
                <w:color w:val="000000"/>
                <w:kern w:val="0"/>
                <w:sz w:val="24"/>
              </w:rPr>
              <w:t>优秀（人</w:t>
            </w:r>
            <w:r>
              <w:rPr>
                <w:color w:val="000000"/>
                <w:kern w:val="0"/>
                <w:sz w:val="24"/>
              </w:rPr>
              <w:t>/%</w:t>
            </w:r>
            <w:r>
              <w:rPr>
                <w:rFonts w:hint="eastAsia" w:ascii="宋体" w:hAnsi="宋体" w:cs="宋体"/>
                <w:color w:val="000000"/>
                <w:kern w:val="0"/>
                <w:sz w:val="24"/>
              </w:rPr>
              <w:t>）</w:t>
            </w:r>
          </w:p>
        </w:tc>
        <w:tc>
          <w:tcPr>
            <w:tcW w:w="1596" w:type="dxa"/>
            <w:tcBorders>
              <w:top w:val="single" w:color="auto" w:sz="4" w:space="0"/>
              <w:left w:val="nil"/>
              <w:bottom w:val="single" w:color="auto" w:sz="4" w:space="0"/>
              <w:right w:val="single" w:color="auto" w:sz="4" w:space="0"/>
            </w:tcBorders>
            <w:shd w:val="clear" w:color="auto" w:fill="auto"/>
            <w:vAlign w:val="center"/>
          </w:tcPr>
          <w:p>
            <w:pPr>
              <w:spacing w:beforeLines="20" w:afterLines="20"/>
              <w:jc w:val="center"/>
              <w:rPr>
                <w:rFonts w:cs="宋体"/>
                <w:color w:val="000000"/>
                <w:kern w:val="0"/>
                <w:sz w:val="24"/>
              </w:rPr>
            </w:pPr>
            <w:r>
              <w:rPr>
                <w:rFonts w:hint="eastAsia" w:cs="宋体"/>
                <w:color w:val="000000"/>
                <w:kern w:val="0"/>
                <w:sz w:val="24"/>
              </w:rPr>
              <w:t>良好（人</w:t>
            </w:r>
            <w:r>
              <w:rPr>
                <w:color w:val="000000"/>
                <w:kern w:val="0"/>
                <w:sz w:val="24"/>
              </w:rPr>
              <w:t>/%</w:t>
            </w:r>
            <w:r>
              <w:rPr>
                <w:rFonts w:hint="eastAsia" w:ascii="宋体" w:hAnsi="宋体" w:cs="宋体"/>
                <w:color w:val="000000"/>
                <w:kern w:val="0"/>
                <w:sz w:val="24"/>
              </w:rPr>
              <w:t>）</w:t>
            </w:r>
          </w:p>
        </w:tc>
        <w:tc>
          <w:tcPr>
            <w:tcW w:w="1782" w:type="dxa"/>
            <w:gridSpan w:val="2"/>
            <w:tcBorders>
              <w:top w:val="single" w:color="auto" w:sz="4" w:space="0"/>
              <w:left w:val="nil"/>
              <w:bottom w:val="single" w:color="auto" w:sz="4" w:space="0"/>
              <w:right w:val="single" w:color="auto" w:sz="4" w:space="0"/>
            </w:tcBorders>
            <w:shd w:val="clear" w:color="auto" w:fill="auto"/>
            <w:vAlign w:val="center"/>
          </w:tcPr>
          <w:p>
            <w:pPr>
              <w:spacing w:beforeLines="20" w:afterLines="20"/>
              <w:jc w:val="center"/>
              <w:rPr>
                <w:rFonts w:cs="宋体"/>
                <w:color w:val="000000"/>
                <w:kern w:val="0"/>
                <w:sz w:val="24"/>
              </w:rPr>
            </w:pPr>
            <w:r>
              <w:rPr>
                <w:rFonts w:hint="eastAsia" w:cs="宋体"/>
                <w:color w:val="000000"/>
                <w:kern w:val="0"/>
                <w:sz w:val="24"/>
              </w:rPr>
              <w:t>合格（人</w:t>
            </w:r>
            <w:r>
              <w:rPr>
                <w:color w:val="000000"/>
                <w:kern w:val="0"/>
                <w:sz w:val="24"/>
              </w:rPr>
              <w:t>/%</w:t>
            </w:r>
            <w:r>
              <w:rPr>
                <w:rFonts w:hint="eastAsia" w:ascii="宋体" w:hAnsi="宋体" w:cs="宋体"/>
                <w:color w:val="000000"/>
                <w:kern w:val="0"/>
                <w:sz w:val="24"/>
              </w:rPr>
              <w:t>）</w:t>
            </w:r>
          </w:p>
        </w:tc>
        <w:tc>
          <w:tcPr>
            <w:tcW w:w="1976" w:type="dxa"/>
            <w:tcBorders>
              <w:top w:val="single" w:color="auto" w:sz="4" w:space="0"/>
              <w:left w:val="nil"/>
              <w:bottom w:val="single" w:color="auto" w:sz="4" w:space="0"/>
              <w:right w:val="single" w:color="auto" w:sz="4" w:space="0"/>
            </w:tcBorders>
            <w:shd w:val="clear" w:color="auto" w:fill="auto"/>
            <w:vAlign w:val="center"/>
          </w:tcPr>
          <w:p>
            <w:pPr>
              <w:spacing w:beforeLines="20" w:afterLines="20"/>
              <w:jc w:val="center"/>
              <w:rPr>
                <w:rFonts w:cs="宋体"/>
                <w:color w:val="000000"/>
                <w:kern w:val="0"/>
                <w:sz w:val="24"/>
              </w:rPr>
            </w:pPr>
            <w:r>
              <w:rPr>
                <w:rFonts w:hint="eastAsia" w:cs="宋体"/>
                <w:color w:val="000000"/>
                <w:kern w:val="0"/>
                <w:sz w:val="24"/>
              </w:rPr>
              <w:t>不合格（人</w:t>
            </w:r>
            <w:r>
              <w:rPr>
                <w:color w:val="000000"/>
                <w:kern w:val="0"/>
                <w:sz w:val="24"/>
              </w:rPr>
              <w:t>/%</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0" w:type="dxa"/>
            <w:gridSpan w:val="2"/>
            <w:tcBorders>
              <w:top w:val="single" w:color="auto" w:sz="4" w:space="0"/>
              <w:left w:val="single" w:color="auto" w:sz="4" w:space="0"/>
              <w:bottom w:val="single" w:color="auto" w:sz="4" w:space="0"/>
              <w:right w:val="nil"/>
            </w:tcBorders>
            <w:shd w:val="clear" w:color="auto" w:fill="auto"/>
            <w:vAlign w:val="center"/>
          </w:tcPr>
          <w:p>
            <w:pPr>
              <w:spacing w:beforeLines="20" w:afterLines="20"/>
              <w:jc w:val="center"/>
              <w:rPr>
                <w:rFonts w:cs="宋体"/>
                <w:color w:val="000000"/>
                <w:kern w:val="0"/>
                <w:sz w:val="24"/>
              </w:rPr>
            </w:pPr>
          </w:p>
        </w:tc>
        <w:tc>
          <w:tcPr>
            <w:tcW w:w="1768" w:type="dxa"/>
            <w:gridSpan w:val="2"/>
            <w:tcBorders>
              <w:top w:val="single" w:color="auto" w:sz="4" w:space="0"/>
              <w:left w:val="single" w:color="auto" w:sz="4" w:space="0"/>
              <w:bottom w:val="single" w:color="auto" w:sz="4" w:space="0"/>
              <w:right w:val="nil"/>
            </w:tcBorders>
            <w:shd w:val="clear" w:color="auto" w:fill="auto"/>
            <w:vAlign w:val="center"/>
          </w:tcPr>
          <w:p>
            <w:pPr>
              <w:spacing w:beforeLines="20" w:afterLines="20"/>
              <w:jc w:val="center"/>
              <w:rPr>
                <w:rFonts w:cs="宋体"/>
                <w:color w:val="000000"/>
                <w:kern w:val="0"/>
                <w:sz w:val="24"/>
              </w:rPr>
            </w:pPr>
          </w:p>
        </w:tc>
        <w:tc>
          <w:tcPr>
            <w:tcW w:w="1596" w:type="dxa"/>
            <w:tcBorders>
              <w:top w:val="single" w:color="auto" w:sz="4" w:space="0"/>
              <w:left w:val="single" w:color="auto" w:sz="4" w:space="0"/>
              <w:bottom w:val="single" w:color="auto" w:sz="4" w:space="0"/>
              <w:right w:val="nil"/>
            </w:tcBorders>
            <w:shd w:val="clear" w:color="auto" w:fill="auto"/>
            <w:vAlign w:val="center"/>
          </w:tcPr>
          <w:p>
            <w:pPr>
              <w:spacing w:beforeLines="20" w:afterLines="20"/>
              <w:jc w:val="center"/>
              <w:rPr>
                <w:rFonts w:cs="宋体"/>
                <w:color w:val="000000"/>
                <w:kern w:val="0"/>
                <w:sz w:val="24"/>
              </w:rPr>
            </w:pPr>
          </w:p>
        </w:tc>
        <w:tc>
          <w:tcPr>
            <w:tcW w:w="1782" w:type="dxa"/>
            <w:gridSpan w:val="2"/>
            <w:tcBorders>
              <w:top w:val="single" w:color="auto" w:sz="4" w:space="0"/>
              <w:left w:val="single" w:color="auto" w:sz="4" w:space="0"/>
              <w:bottom w:val="single" w:color="auto" w:sz="4" w:space="0"/>
              <w:right w:val="nil"/>
            </w:tcBorders>
            <w:shd w:val="clear" w:color="auto" w:fill="auto"/>
            <w:vAlign w:val="center"/>
          </w:tcPr>
          <w:p>
            <w:pPr>
              <w:spacing w:beforeLines="20" w:afterLines="20"/>
              <w:jc w:val="center"/>
              <w:rPr>
                <w:rFonts w:cs="宋体"/>
                <w:color w:val="000000"/>
                <w:kern w:val="0"/>
                <w:sz w:val="24"/>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072" w:type="dxa"/>
            <w:gridSpan w:val="8"/>
            <w:tcBorders>
              <w:top w:val="single" w:color="auto" w:sz="4" w:space="0"/>
              <w:left w:val="single" w:color="auto" w:sz="4" w:space="0"/>
              <w:bottom w:val="single" w:color="auto" w:sz="4" w:space="0"/>
              <w:right w:val="single" w:color="auto" w:sz="4" w:space="0"/>
            </w:tcBorders>
            <w:shd w:val="clear" w:color="auto" w:fill="auto"/>
          </w:tcPr>
          <w:p>
            <w:pPr>
              <w:spacing w:beforeLines="20" w:afterLines="20"/>
              <w:rPr>
                <w:rFonts w:cs="宋体"/>
                <w:color w:val="000000"/>
                <w:kern w:val="0"/>
                <w:sz w:val="24"/>
              </w:rPr>
            </w:pPr>
            <w:r>
              <w:rPr>
                <w:rFonts w:hint="eastAsia" w:cs="宋体"/>
                <w:color w:val="000000"/>
                <w:kern w:val="0"/>
                <w:sz w:val="24"/>
              </w:rPr>
              <w:t>学院年度教学质量考评小组名单：</w:t>
            </w:r>
          </w:p>
        </w:tc>
      </w:tr>
    </w:tbl>
    <w:p>
      <w:pPr>
        <w:spacing w:line="380" w:lineRule="exact"/>
        <w:ind w:left="-735" w:leftChars="-350" w:firstLine="1248" w:firstLineChars="592"/>
        <w:jc w:val="left"/>
        <w:rPr>
          <w:rFonts w:hint="eastAsia" w:ascii="宋体" w:hAnsi="宋体" w:cs="宋体"/>
          <w:color w:val="000000"/>
          <w:szCs w:val="21"/>
        </w:rPr>
      </w:pPr>
      <w:r>
        <w:rPr>
          <w:rFonts w:hint="eastAsia" w:ascii="宋体" w:hAnsi="宋体" w:cs="宋体"/>
          <w:b/>
          <w:color w:val="000000"/>
          <w:szCs w:val="21"/>
        </w:rPr>
        <w:t>注：</w:t>
      </w:r>
      <w:r>
        <w:rPr>
          <w:rFonts w:hint="eastAsia" w:ascii="宋体" w:hAnsi="宋体" w:cs="宋体"/>
          <w:color w:val="000000"/>
          <w:szCs w:val="21"/>
        </w:rPr>
        <w:t>考评结果按优秀、良好、合格、不合格顺序依次填写。</w:t>
      </w:r>
    </w:p>
    <w:p>
      <w:pPr>
        <w:rPr>
          <w:rFonts w:hint="eastAsia" w:ascii="宋体" w:hAnsi="宋体" w:cs="宋体"/>
          <w:color w:val="000000"/>
          <w:szCs w:val="21"/>
        </w:rPr>
      </w:pPr>
      <w:r>
        <w:rPr>
          <w:rFonts w:hint="eastAsia" w:ascii="宋体" w:hAnsi="宋体" w:cs="宋体"/>
          <w:color w:val="000000"/>
          <w:szCs w:val="21"/>
        </w:rPr>
        <w:br w:type="page"/>
      </w:r>
    </w:p>
    <w:p>
      <w:pPr>
        <w:spacing w:line="38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附件5</w:t>
      </w:r>
    </w:p>
    <w:p>
      <w:pPr>
        <w:spacing w:line="380" w:lineRule="exact"/>
        <w:rPr>
          <w:rFonts w:hint="default" w:ascii="黑体" w:hAnsi="黑体" w:eastAsia="黑体" w:cs="黑体"/>
          <w:color w:val="000000"/>
          <w:sz w:val="32"/>
          <w:szCs w:val="32"/>
          <w:lang w:val="en-US" w:eastAsia="zh-CN"/>
        </w:rPr>
      </w:pPr>
    </w:p>
    <w:p>
      <w:pPr>
        <w:bidi w:val="0"/>
        <w:ind w:firstLine="273" w:firstLineChars="0"/>
        <w:jc w:val="center"/>
        <w:rPr>
          <w:rFonts w:hint="eastAsia"/>
          <w:b/>
          <w:bCs/>
          <w:sz w:val="28"/>
          <w:szCs w:val="28"/>
          <w:lang w:eastAsia="zh-CN"/>
        </w:rPr>
      </w:pPr>
      <w:r>
        <w:rPr>
          <w:rFonts w:hint="eastAsia"/>
          <w:b/>
          <w:bCs/>
          <w:sz w:val="28"/>
          <w:szCs w:val="28"/>
          <w:u w:val="single"/>
          <w:lang w:val="en-US" w:eastAsia="zh-CN"/>
        </w:rPr>
        <w:t xml:space="preserve">      </w:t>
      </w:r>
      <w:r>
        <w:rPr>
          <w:rFonts w:hint="eastAsia"/>
          <w:b/>
          <w:bCs/>
          <w:sz w:val="28"/>
          <w:szCs w:val="28"/>
          <w:lang w:eastAsia="zh-CN"/>
        </w:rPr>
        <w:t>年度教学质量考评公示情况表</w:t>
      </w:r>
    </w:p>
    <w:tbl>
      <w:tblPr>
        <w:tblStyle w:val="10"/>
        <w:tblpPr w:leftFromText="180" w:rightFromText="180" w:vertAnchor="text" w:horzAnchor="page" w:tblpX="2145"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19" w:type="dxa"/>
            <w:vAlign w:val="top"/>
          </w:tcPr>
          <w:p>
            <w:pPr>
              <w:bidi w:val="0"/>
              <w:jc w:val="left"/>
              <w:rPr>
                <w:rFonts w:hint="eastAsia"/>
                <w:b/>
                <w:bCs/>
                <w:sz w:val="28"/>
                <w:szCs w:val="28"/>
                <w:vertAlign w:val="baseline"/>
                <w:lang w:val="en-US" w:eastAsia="zh-CN"/>
              </w:rPr>
            </w:pPr>
            <w:r>
              <w:rPr>
                <w:rFonts w:hint="eastAsia"/>
                <w:b/>
                <w:bCs/>
                <w:sz w:val="28"/>
                <w:szCs w:val="28"/>
                <w:vertAlign w:val="baseline"/>
                <w:lang w:val="en-US" w:eastAsia="zh-CN"/>
              </w:rPr>
              <w:t>单位</w:t>
            </w:r>
          </w:p>
        </w:tc>
        <w:tc>
          <w:tcPr>
            <w:tcW w:w="1419" w:type="dxa"/>
            <w:vAlign w:val="top"/>
          </w:tcPr>
          <w:p>
            <w:pPr>
              <w:bidi w:val="0"/>
              <w:jc w:val="left"/>
              <w:rPr>
                <w:rFonts w:hint="eastAsia"/>
                <w:b/>
                <w:bCs/>
                <w:sz w:val="28"/>
                <w:szCs w:val="28"/>
                <w:vertAlign w:val="baseline"/>
                <w:lang w:val="en-US" w:eastAsia="zh-CN"/>
              </w:rPr>
            </w:pPr>
            <w:r>
              <w:rPr>
                <w:rFonts w:hint="eastAsia"/>
                <w:b/>
                <w:bCs/>
                <w:sz w:val="28"/>
                <w:szCs w:val="28"/>
                <w:vertAlign w:val="baseline"/>
                <w:lang w:val="en-US" w:eastAsia="zh-CN"/>
              </w:rPr>
              <w:t>公示时间</w:t>
            </w:r>
          </w:p>
        </w:tc>
        <w:tc>
          <w:tcPr>
            <w:tcW w:w="1419" w:type="dxa"/>
            <w:vAlign w:val="top"/>
          </w:tcPr>
          <w:p>
            <w:pPr>
              <w:bidi w:val="0"/>
              <w:jc w:val="left"/>
              <w:rPr>
                <w:rFonts w:hint="eastAsia"/>
                <w:b/>
                <w:bCs/>
                <w:sz w:val="28"/>
                <w:szCs w:val="28"/>
                <w:vertAlign w:val="baseline"/>
                <w:lang w:val="en-US" w:eastAsia="zh-CN"/>
              </w:rPr>
            </w:pPr>
            <w:r>
              <w:rPr>
                <w:rFonts w:hint="eastAsia"/>
                <w:b/>
                <w:bCs/>
                <w:sz w:val="28"/>
                <w:szCs w:val="28"/>
                <w:vertAlign w:val="baseline"/>
                <w:lang w:val="en-US" w:eastAsia="zh-CN"/>
              </w:rPr>
              <w:t>公示</w:t>
            </w:r>
            <w:bookmarkStart w:id="0" w:name="_GoBack"/>
            <w:bookmarkEnd w:id="0"/>
            <w:r>
              <w:rPr>
                <w:rFonts w:hint="eastAsia"/>
                <w:b/>
                <w:bCs/>
                <w:sz w:val="28"/>
                <w:szCs w:val="28"/>
                <w:vertAlign w:val="baseline"/>
                <w:lang w:val="en-US" w:eastAsia="zh-CN"/>
              </w:rPr>
              <w:t>地点</w:t>
            </w:r>
          </w:p>
        </w:tc>
        <w:tc>
          <w:tcPr>
            <w:tcW w:w="1419" w:type="dxa"/>
            <w:vAlign w:val="top"/>
          </w:tcPr>
          <w:p>
            <w:pPr>
              <w:bidi w:val="0"/>
              <w:jc w:val="left"/>
              <w:rPr>
                <w:rFonts w:hint="eastAsia"/>
                <w:b/>
                <w:bCs/>
                <w:sz w:val="28"/>
                <w:szCs w:val="28"/>
                <w:vertAlign w:val="baseline"/>
                <w:lang w:val="en-US" w:eastAsia="zh-CN"/>
              </w:rPr>
            </w:pPr>
            <w:r>
              <w:rPr>
                <w:rFonts w:hint="eastAsia"/>
                <w:b/>
                <w:bCs/>
                <w:sz w:val="28"/>
                <w:szCs w:val="28"/>
                <w:vertAlign w:val="baseline"/>
                <w:lang w:val="en-US" w:eastAsia="zh-CN"/>
              </w:rPr>
              <w:t>公示时长</w:t>
            </w:r>
          </w:p>
        </w:tc>
        <w:tc>
          <w:tcPr>
            <w:tcW w:w="1420" w:type="dxa"/>
            <w:vAlign w:val="top"/>
          </w:tcPr>
          <w:p>
            <w:pPr>
              <w:bidi w:val="0"/>
              <w:jc w:val="left"/>
              <w:rPr>
                <w:rFonts w:hint="eastAsia"/>
                <w:b/>
                <w:bCs/>
                <w:sz w:val="28"/>
                <w:szCs w:val="28"/>
                <w:vertAlign w:val="baseline"/>
                <w:lang w:val="en-US" w:eastAsia="zh-CN"/>
              </w:rPr>
            </w:pPr>
            <w:r>
              <w:rPr>
                <w:rFonts w:hint="eastAsia"/>
                <w:b/>
                <w:bCs/>
                <w:sz w:val="28"/>
                <w:szCs w:val="28"/>
                <w:vertAlign w:val="baseline"/>
                <w:lang w:val="en-US" w:eastAsia="zh-CN"/>
              </w:rPr>
              <w:t>公示结果</w:t>
            </w:r>
            <w:r>
              <w:rPr>
                <w:rFonts w:hint="eastAsia"/>
                <w:b/>
                <w:bCs/>
                <w:sz w:val="21"/>
                <w:szCs w:val="21"/>
                <w:vertAlign w:val="baseline"/>
                <w:lang w:val="en-US" w:eastAsia="zh-CN"/>
              </w:rPr>
              <w:t>（填是否有异议）</w:t>
            </w:r>
          </w:p>
        </w:tc>
        <w:tc>
          <w:tcPr>
            <w:tcW w:w="1420" w:type="dxa"/>
            <w:vAlign w:val="top"/>
          </w:tcPr>
          <w:p>
            <w:pPr>
              <w:bidi w:val="0"/>
              <w:jc w:val="left"/>
              <w:rPr>
                <w:rFonts w:hint="eastAsia"/>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19" w:type="dxa"/>
            <w:vAlign w:val="top"/>
          </w:tcPr>
          <w:p>
            <w:pPr>
              <w:bidi w:val="0"/>
              <w:jc w:val="left"/>
              <w:rPr>
                <w:rFonts w:hint="eastAsia"/>
                <w:vertAlign w:val="baseline"/>
                <w:lang w:val="en-US" w:eastAsia="zh-CN"/>
              </w:rPr>
            </w:pPr>
          </w:p>
        </w:tc>
        <w:tc>
          <w:tcPr>
            <w:tcW w:w="1419" w:type="dxa"/>
            <w:vAlign w:val="top"/>
          </w:tcPr>
          <w:p>
            <w:pPr>
              <w:bidi w:val="0"/>
              <w:jc w:val="left"/>
              <w:rPr>
                <w:rFonts w:hint="default"/>
                <w:vertAlign w:val="baseline"/>
                <w:lang w:val="en-US" w:eastAsia="zh-CN"/>
              </w:rPr>
            </w:pPr>
          </w:p>
        </w:tc>
        <w:tc>
          <w:tcPr>
            <w:tcW w:w="1419" w:type="dxa"/>
            <w:vAlign w:val="top"/>
          </w:tcPr>
          <w:p>
            <w:pPr>
              <w:bidi w:val="0"/>
              <w:jc w:val="left"/>
              <w:rPr>
                <w:rFonts w:hint="eastAsia"/>
                <w:vertAlign w:val="baseline"/>
                <w:lang w:val="en-US" w:eastAsia="zh-CN"/>
              </w:rPr>
            </w:pPr>
          </w:p>
        </w:tc>
        <w:tc>
          <w:tcPr>
            <w:tcW w:w="1419" w:type="dxa"/>
            <w:vAlign w:val="top"/>
          </w:tcPr>
          <w:p>
            <w:pPr>
              <w:bidi w:val="0"/>
              <w:jc w:val="left"/>
              <w:rPr>
                <w:rFonts w:hint="default"/>
                <w:vertAlign w:val="baseline"/>
                <w:lang w:val="en-US" w:eastAsia="zh-CN"/>
              </w:rPr>
            </w:pPr>
          </w:p>
        </w:tc>
        <w:tc>
          <w:tcPr>
            <w:tcW w:w="1420" w:type="dxa"/>
            <w:vAlign w:val="top"/>
          </w:tcPr>
          <w:p>
            <w:pPr>
              <w:bidi w:val="0"/>
              <w:jc w:val="left"/>
              <w:rPr>
                <w:rFonts w:hint="eastAsia"/>
                <w:vertAlign w:val="baseline"/>
                <w:lang w:val="en-US" w:eastAsia="zh-CN"/>
              </w:rPr>
            </w:pPr>
          </w:p>
        </w:tc>
        <w:tc>
          <w:tcPr>
            <w:tcW w:w="1420" w:type="dxa"/>
            <w:vAlign w:val="top"/>
          </w:tcPr>
          <w:p>
            <w:pPr>
              <w:bidi w:val="0"/>
              <w:jc w:val="left"/>
              <w:rPr>
                <w:rFonts w:hint="eastAsia"/>
                <w:vertAlign w:val="baseline"/>
                <w:lang w:val="en-US" w:eastAsia="zh-CN"/>
              </w:rPr>
            </w:pPr>
          </w:p>
        </w:tc>
      </w:tr>
    </w:tbl>
    <w:p>
      <w:pPr>
        <w:spacing w:line="380" w:lineRule="exact"/>
        <w:rPr>
          <w:rFonts w:hint="default" w:ascii="黑体" w:hAnsi="黑体" w:eastAsia="黑体" w:cs="黑体"/>
          <w:color w:val="000000"/>
          <w:sz w:val="32"/>
          <w:szCs w:val="32"/>
          <w:lang w:val="en-US" w:eastAsia="zh-CN"/>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eastAsia"/>
          <w:vertAlign w:val="baseline"/>
          <w:lang w:val="en-US" w:eastAsia="zh-CN"/>
        </w:rPr>
      </w:pPr>
      <w:r>
        <w:rPr>
          <w:rFonts w:hint="eastAsia"/>
          <w:vertAlign w:val="baseline"/>
          <w:lang w:val="en-US" w:eastAsia="zh-CN"/>
        </w:rPr>
        <w:t>注：请另附公示截图或照片。</w:t>
      </w:r>
    </w:p>
    <w:p>
      <w:pPr>
        <w:bidi w:val="0"/>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5988"/>
        </w:tabs>
        <w:bidi w:val="0"/>
        <w:ind w:firstLine="273" w:firstLineChars="0"/>
        <w:jc w:val="both"/>
        <w:rPr>
          <w:rFonts w:hint="eastAsia"/>
          <w:sz w:val="28"/>
          <w:szCs w:val="28"/>
          <w:lang w:val="en-US" w:eastAsia="zh-CN"/>
        </w:rPr>
      </w:pPr>
      <w:r>
        <w:rPr>
          <w:rFonts w:hint="eastAsia"/>
          <w:sz w:val="28"/>
          <w:szCs w:val="28"/>
          <w:lang w:val="en-US" w:eastAsia="zh-CN"/>
        </w:rPr>
        <w:t xml:space="preserve"> 院长签字：                         单位（公章）：</w:t>
      </w:r>
    </w:p>
    <w:p>
      <w:pPr>
        <w:tabs>
          <w:tab w:val="left" w:pos="5988"/>
        </w:tabs>
        <w:bidi w:val="0"/>
        <w:ind w:left="0" w:leftChars="0" w:firstLine="4620" w:firstLineChars="0"/>
        <w:jc w:val="both"/>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年</w:t>
      </w:r>
      <w:r>
        <w:rPr>
          <w:rFonts w:hint="eastAsia"/>
          <w:sz w:val="28"/>
          <w:szCs w:val="28"/>
          <w:u w:val="single"/>
          <w:lang w:val="en-US" w:eastAsia="zh-CN"/>
        </w:rPr>
        <w:t xml:space="preserve">   </w:t>
      </w:r>
      <w:r>
        <w:rPr>
          <w:rFonts w:hint="eastAsia"/>
          <w:sz w:val="28"/>
          <w:szCs w:val="28"/>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946"/>
        </w:tabs>
        <w:bidi w:val="0"/>
        <w:jc w:val="left"/>
        <w:rPr>
          <w:rFonts w:hint="default"/>
          <w:lang w:val="en-US" w:eastAsia="zh-CN"/>
        </w:rPr>
      </w:pPr>
      <w:r>
        <w:rPr>
          <w:rFonts w:hint="eastAsia"/>
          <w:lang w:val="en-US" w:eastAsia="zh-CN"/>
        </w:rPr>
        <w:tab/>
      </w:r>
    </w:p>
    <w:sectPr>
      <w:footerReference r:id="rId4" w:type="default"/>
      <w:pgSz w:w="11900" w:h="16840"/>
      <w:pgMar w:top="1701" w:right="1417" w:bottom="1134" w:left="1417" w:header="720" w:footer="1134"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9.85pt;width:48.2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620B"/>
    <w:rsid w:val="00021D42"/>
    <w:rsid w:val="000B2BCC"/>
    <w:rsid w:val="000B663C"/>
    <w:rsid w:val="000C78F6"/>
    <w:rsid w:val="00172703"/>
    <w:rsid w:val="00195013"/>
    <w:rsid w:val="001B604E"/>
    <w:rsid w:val="001C0558"/>
    <w:rsid w:val="001C68B8"/>
    <w:rsid w:val="001F5705"/>
    <w:rsid w:val="001F7283"/>
    <w:rsid w:val="00213CEF"/>
    <w:rsid w:val="00220E32"/>
    <w:rsid w:val="0022521F"/>
    <w:rsid w:val="0023160E"/>
    <w:rsid w:val="0024306E"/>
    <w:rsid w:val="002740DE"/>
    <w:rsid w:val="002906E0"/>
    <w:rsid w:val="002E00BB"/>
    <w:rsid w:val="002F5827"/>
    <w:rsid w:val="00303873"/>
    <w:rsid w:val="003565BF"/>
    <w:rsid w:val="003758CD"/>
    <w:rsid w:val="003825CB"/>
    <w:rsid w:val="0038481C"/>
    <w:rsid w:val="003F68EB"/>
    <w:rsid w:val="00412CB0"/>
    <w:rsid w:val="0041620B"/>
    <w:rsid w:val="0049132A"/>
    <w:rsid w:val="004A2BFD"/>
    <w:rsid w:val="004F056E"/>
    <w:rsid w:val="00517C2C"/>
    <w:rsid w:val="00546F56"/>
    <w:rsid w:val="005579F7"/>
    <w:rsid w:val="00560EDC"/>
    <w:rsid w:val="005806AD"/>
    <w:rsid w:val="005C6386"/>
    <w:rsid w:val="005F64B9"/>
    <w:rsid w:val="00613952"/>
    <w:rsid w:val="006814C0"/>
    <w:rsid w:val="006A4D5D"/>
    <w:rsid w:val="006B02D4"/>
    <w:rsid w:val="006D2E0D"/>
    <w:rsid w:val="006D76BD"/>
    <w:rsid w:val="0074526F"/>
    <w:rsid w:val="00745A26"/>
    <w:rsid w:val="00750353"/>
    <w:rsid w:val="007618F5"/>
    <w:rsid w:val="00771EA9"/>
    <w:rsid w:val="00786AE0"/>
    <w:rsid w:val="007873BE"/>
    <w:rsid w:val="007B6111"/>
    <w:rsid w:val="007D1045"/>
    <w:rsid w:val="007D513A"/>
    <w:rsid w:val="007F00AE"/>
    <w:rsid w:val="0082677C"/>
    <w:rsid w:val="00844797"/>
    <w:rsid w:val="008516CD"/>
    <w:rsid w:val="008D4D5A"/>
    <w:rsid w:val="008F12EC"/>
    <w:rsid w:val="0093360E"/>
    <w:rsid w:val="00946EF0"/>
    <w:rsid w:val="00952F33"/>
    <w:rsid w:val="009577C3"/>
    <w:rsid w:val="009B149C"/>
    <w:rsid w:val="009C41C5"/>
    <w:rsid w:val="009C540D"/>
    <w:rsid w:val="009E0D85"/>
    <w:rsid w:val="00A075AD"/>
    <w:rsid w:val="00A23ECD"/>
    <w:rsid w:val="00A5520D"/>
    <w:rsid w:val="00B13CFF"/>
    <w:rsid w:val="00B66125"/>
    <w:rsid w:val="00B71518"/>
    <w:rsid w:val="00B73868"/>
    <w:rsid w:val="00B91E99"/>
    <w:rsid w:val="00B9367D"/>
    <w:rsid w:val="00B95732"/>
    <w:rsid w:val="00BA316D"/>
    <w:rsid w:val="00BB18D1"/>
    <w:rsid w:val="00BB342D"/>
    <w:rsid w:val="00BF31C5"/>
    <w:rsid w:val="00C005DD"/>
    <w:rsid w:val="00C11990"/>
    <w:rsid w:val="00C303FF"/>
    <w:rsid w:val="00C34B30"/>
    <w:rsid w:val="00C36C7C"/>
    <w:rsid w:val="00C46566"/>
    <w:rsid w:val="00C5035E"/>
    <w:rsid w:val="00C60768"/>
    <w:rsid w:val="00C610A6"/>
    <w:rsid w:val="00CA78CF"/>
    <w:rsid w:val="00CF27F2"/>
    <w:rsid w:val="00CF569F"/>
    <w:rsid w:val="00D10C55"/>
    <w:rsid w:val="00D11DB2"/>
    <w:rsid w:val="00D25F3E"/>
    <w:rsid w:val="00D30CDB"/>
    <w:rsid w:val="00D51BA0"/>
    <w:rsid w:val="00D65456"/>
    <w:rsid w:val="00D93D03"/>
    <w:rsid w:val="00D95369"/>
    <w:rsid w:val="00DA67BE"/>
    <w:rsid w:val="00DC6DAF"/>
    <w:rsid w:val="00DE033A"/>
    <w:rsid w:val="00DF6FE4"/>
    <w:rsid w:val="00E1080C"/>
    <w:rsid w:val="00E30E74"/>
    <w:rsid w:val="00E92C43"/>
    <w:rsid w:val="00E94111"/>
    <w:rsid w:val="00EB4AC9"/>
    <w:rsid w:val="00EB5D03"/>
    <w:rsid w:val="00F1583E"/>
    <w:rsid w:val="00F71255"/>
    <w:rsid w:val="00F73103"/>
    <w:rsid w:val="00F8671B"/>
    <w:rsid w:val="00F93947"/>
    <w:rsid w:val="00FA1B2F"/>
    <w:rsid w:val="00FE089C"/>
    <w:rsid w:val="00FE4CB6"/>
    <w:rsid w:val="089F33B7"/>
    <w:rsid w:val="0C4023EE"/>
    <w:rsid w:val="2CA179CA"/>
    <w:rsid w:val="3E78074F"/>
    <w:rsid w:val="47C3461D"/>
    <w:rsid w:val="4C82417A"/>
    <w:rsid w:val="5B2C2726"/>
    <w:rsid w:val="6524623A"/>
    <w:rsid w:val="684E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qFormat/>
    <w:uiPriority w:val="0"/>
    <w:rPr>
      <w:rFonts w:hint="eastAsia" w:ascii="仿宋_GB2312" w:hAnsi="宋体" w:eastAsia="仿宋_GB2312"/>
      <w:sz w:val="32"/>
      <w:szCs w:val="32"/>
    </w:rPr>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character" w:customStyle="1" w:styleId="14">
    <w:name w:val="页眉 Char"/>
    <w:basedOn w:val="11"/>
    <w:link w:val="6"/>
    <w:uiPriority w:val="0"/>
    <w:rPr>
      <w:kern w:val="2"/>
      <w:sz w:val="18"/>
      <w:szCs w:val="18"/>
    </w:rPr>
  </w:style>
  <w:style w:type="character" w:customStyle="1" w:styleId="15">
    <w:name w:val="页脚 Char"/>
    <w:basedOn w:val="11"/>
    <w:link w:val="5"/>
    <w:qFormat/>
    <w:uiPriority w:val="0"/>
    <w:rPr>
      <w:kern w:val="2"/>
      <w:sz w:val="18"/>
      <w:szCs w:val="18"/>
    </w:rPr>
  </w:style>
  <w:style w:type="character" w:customStyle="1" w:styleId="16">
    <w:name w:val="批注文字 Char"/>
    <w:basedOn w:val="11"/>
    <w:link w:val="2"/>
    <w:qFormat/>
    <w:uiPriority w:val="0"/>
    <w:rPr>
      <w:kern w:val="2"/>
      <w:sz w:val="21"/>
      <w:szCs w:val="24"/>
    </w:rPr>
  </w:style>
  <w:style w:type="character" w:customStyle="1" w:styleId="17">
    <w:name w:val="批注主题 Char"/>
    <w:basedOn w:val="16"/>
    <w:link w:val="8"/>
    <w:uiPriority w:val="0"/>
    <w:rPr>
      <w:b/>
      <w:bCs/>
      <w:kern w:val="2"/>
      <w:sz w:val="21"/>
      <w:szCs w:val="24"/>
    </w:rPr>
  </w:style>
  <w:style w:type="character" w:customStyle="1" w:styleId="18">
    <w:name w:val="批注框文本 Char"/>
    <w:basedOn w:val="11"/>
    <w:link w:val="4"/>
    <w:qFormat/>
    <w:uiPriority w:val="0"/>
    <w:rPr>
      <w:kern w:val="2"/>
      <w:sz w:val="18"/>
      <w:szCs w:val="18"/>
    </w:rPr>
  </w:style>
  <w:style w:type="character" w:customStyle="1" w:styleId="19">
    <w:name w:val="15"/>
    <w:basedOn w:val="11"/>
    <w:qFormat/>
    <w:uiPriority w:val="0"/>
    <w:rPr>
      <w:rFonts w:hint="default" w:ascii="Times New Roman" w:hAnsi="Times New Roman" w:cs="Times New Roman"/>
    </w:rPr>
  </w:style>
  <w:style w:type="character" w:customStyle="1" w:styleId="20">
    <w:name w:val="10"/>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4AA2B-ACB5-4EB4-AC7B-56B3DB5FFD0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804</Words>
  <Characters>4589</Characters>
  <Lines>38</Lines>
  <Paragraphs>10</Paragraphs>
  <TotalTime>1</TotalTime>
  <ScaleCrop>false</ScaleCrop>
  <LinksUpToDate>false</LinksUpToDate>
  <CharactersWithSpaces>5383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2018-06-25T01:13:00Z</dcterms:created>
  <dc:creator>Lenovo User</dc:creator>
  <cp:lastModifiedBy>吴美美</cp:lastModifiedBy>
  <cp:lastPrinted>2018-07-09T00:42:00Z</cp:lastPrinted>
  <dcterms:modified xsi:type="dcterms:W3CDTF">2021-12-06T08:12:42Z</dcterms:modified>
  <dc:title>河南农业大学关于印发年度教学质量考评办法的通知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38578ACEFCC04F6AA7C054135FBE7C25</vt:lpwstr>
  </property>
</Properties>
</file>