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169" w:type="dxa"/>
        <w:tblInd w:w="-36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40"/>
        <w:gridCol w:w="855"/>
        <w:gridCol w:w="6165"/>
        <w:gridCol w:w="733"/>
        <w:gridCol w:w="347"/>
        <w:gridCol w:w="733"/>
        <w:gridCol w:w="794"/>
        <w:gridCol w:w="3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2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753" w:type="dxa"/>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28"/>
                <w:szCs w:val="28"/>
                <w:u w:val="none"/>
              </w:rPr>
            </w:pPr>
            <w:r>
              <w:rPr>
                <w:rFonts w:hint="eastAsia" w:ascii="方正小标宋简体" w:hAnsi="方正小标宋简体" w:eastAsia="方正小标宋简体" w:cs="方正小标宋简体"/>
                <w:i w:val="0"/>
                <w:iCs w:val="0"/>
                <w:color w:val="000000"/>
                <w:kern w:val="0"/>
                <w:sz w:val="28"/>
                <w:szCs w:val="28"/>
                <w:u w:val="none"/>
                <w:lang w:val="en-US" w:eastAsia="zh-CN" w:bidi="ar"/>
              </w:rPr>
              <w:t>2023年通过结项鉴定2024年1月发文的35项省级教改项目</w:t>
            </w:r>
          </w:p>
        </w:tc>
        <w:tc>
          <w:tcPr>
            <w:tcW w:w="1080"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96"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502"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bookmarkStart w:id="0" w:name="_GoBack" w:colFirst="0" w:colLast="3"/>
            <w:r>
              <w:rPr>
                <w:rFonts w:hint="eastAsia" w:ascii="宋体" w:hAnsi="宋体" w:eastAsia="宋体" w:cs="宋体"/>
                <w:b/>
                <w:bCs/>
                <w:i w:val="0"/>
                <w:iCs w:val="0"/>
                <w:color w:val="000000"/>
                <w:kern w:val="0"/>
                <w:sz w:val="24"/>
                <w:szCs w:val="24"/>
                <w:u w:val="none"/>
                <w:lang w:val="en-US" w:eastAsia="zh-CN" w:bidi="ar"/>
              </w:rPr>
              <w:t>序号</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项目名称</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主持人</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层次</w:t>
            </w:r>
          </w:p>
        </w:tc>
      </w:tr>
      <w:bookmarkEnd w:id="0"/>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新农科“三段双道双型”人才培养体系构建与创新实践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汤继华</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新农科背景下创新人才多维培养体系构建与实践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郭战伟</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基于科技小院的新农科多样化人才培养模式创新与实践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叶优良</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51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推进卓越园艺师2.0计划，培养适应新农科时代的一流园艺专业人才</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郑先波</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面向乡村振兴的交通运输专业政产学研用协同育人研究与实践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崔  岩</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中原农耕文明融入农林高校课程思政教育体系研究与实践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张帅梁</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51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基于“计算思维”赋能“四新专业”的计算机类通识课程教学改革与实践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  慧</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地域文化融入河南高校课程思政教育体系研究与实践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朱玉芳</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51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新农科背景下“五位一体”的畜牧专业大学生创新创业能力培养模式研究与实践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李转见</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涉农高校“六位一体”创新创业教育研究与实践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代  莉</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农经专业核心课“理案讨虚实”五位一体教学模式研究与实践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赵翠萍</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12</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区域特色骨干大学产教融合研究与实践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尚富德</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重点项目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13</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选择与引导—农林高校大类招生建筑学专业人才培养模式研究</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李永华</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一般项目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14</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黄河文化融入农林院校大学英语课程思政教育研究与实践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陈  洁</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一般项目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51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15</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新农科背景下涉农专业基础课程思政建设的研究与实践——以植物学课程为例</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王一涵</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一般项目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16</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面向工程教育认证以学科竞赛推进高校创新型人才培养模式研究</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索  标</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一般项目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17</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智慧教学背景下农业院校理化基础课程软件资源开发与应用</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李  伟</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一般项目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18</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智慧教育时代新农科产教融合教学研究与实践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张晓婷</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一般项目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51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19</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产教融合背景下动物医学专业应用型创新人才培养模式的研究与实践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褚贝贝</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一般项目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51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高等学校高层次人才队伍建设的研究与实践——以河南农业大学为例</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张朝阳</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一般项目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农林高校新文科服务乡村振兴人才培养模式创新与实践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尹新明</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新文科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新时代地方农林高校文科专业结构优化调整的研究与实践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冯建灿</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新文科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新文科背景下农林院校智慧教学的研究与实践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张俊杰</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新文科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以生态文明思想为引领的林学专业改造提升研究与实践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杨喜田</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新农科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新农科视域下中原特色课程思政改革与实践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李成吾</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新农科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51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农林高校以“双创”为特色的新农科多样化人才培养模式创新与实践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尹新明</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新农科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51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强化校企融合 直面产业需求 地方高校新农科卓越园艺人才培养模式创新实践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冯建灿</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新农科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51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面向新业态地方高校农业建筑环境与能源工程专业改造提升研究与实践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贺  超</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新工科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51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面向农业农村现代化多学科交叉融合的创新型工程教育组织模式研究与实践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李世欣</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新工科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02" w:type="dxa"/>
          <w:trHeight w:val="51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高校教师与行业人才三级双向交流体系探索与实践——以河南农业大学生物工程专业建设为例</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郭红祥</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新工科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51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强化学科引领 深化产教融合 新工科背景下地方高校食品类专业育人模式探索与实践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黄现青</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新工科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6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乡村振兴战略背景下农业创新创业人才培养体系研究与实践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李书民</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地方农林高校“六位一体”就业育人体系研究与实践</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徐  峰</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一般项目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高校思政课教学质量监控体系创新及实践研究</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马  菲</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02" w:type="dxa"/>
          <w:trHeight w:val="270" w:hRule="atLeast"/>
        </w:trPr>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全媒体时代研究生思想政治课教学方式及评价体系研究</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郭风英</w:t>
            </w:r>
          </w:p>
        </w:tc>
        <w:tc>
          <w:tcPr>
            <w:tcW w:w="15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一般项目</w:t>
            </w:r>
          </w:p>
        </w:tc>
      </w:tr>
    </w:tbl>
    <w:p>
      <w:pPr>
        <w:jc w:val="left"/>
        <w:rPr>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2YWIzZDYzOTI4OTAwMGQxNzJkZWQwODRlYmVhMmQifQ=="/>
  </w:docVars>
  <w:rsids>
    <w:rsidRoot w:val="00000000"/>
    <w:rsid w:val="153C559F"/>
    <w:rsid w:val="28596588"/>
    <w:rsid w:val="49080B7C"/>
    <w:rsid w:val="6A590DE0"/>
    <w:rsid w:val="76666FE8"/>
    <w:rsid w:val="78EF06C3"/>
    <w:rsid w:val="79B06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autoRedefine/>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2024-07-14T11:15:00Z</dcterms:created>
  <dc:creator>Administrator</dc:creator>
  <cp:lastModifiedBy>吴美美</cp:lastModifiedBy>
  <dcterms:modified xsi:type="dcterms:W3CDTF">2024-07-14T11:20:29Z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6CC4D94FF52A4B61A06FB81A6B65FE4B_12</vt:lpwstr>
  </property>
</Properties>
</file>