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2024年河南省本科高等教育教学成果奖</w:t>
      </w:r>
    </w:p>
    <w:p>
      <w:pPr>
        <w:snapToGrid w:val="0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推荐等级参考标准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3051"/>
        <w:gridCol w:w="4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奖励等级</w:t>
            </w:r>
          </w:p>
        </w:tc>
        <w:tc>
          <w:tcPr>
            <w:tcW w:w="30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主要特征</w:t>
            </w:r>
          </w:p>
        </w:tc>
        <w:tc>
          <w:tcPr>
            <w:tcW w:w="425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参考量化指标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exact"/>
          <w:jc w:val="center"/>
        </w:trPr>
        <w:tc>
          <w:tcPr>
            <w:tcW w:w="17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省级教学成果特等奖</w:t>
            </w:r>
          </w:p>
        </w:tc>
        <w:tc>
          <w:tcPr>
            <w:tcW w:w="3051" w:type="dxa"/>
            <w:noWrap w:val="0"/>
            <w:vAlign w:val="center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国内或省内首创，达到国内先进水平，在教育教学改革方面取得重大突破，对提高教学质量、实现人才培养目标有突出贡献，具有重大应用推广价值。</w:t>
            </w:r>
          </w:p>
        </w:tc>
        <w:tc>
          <w:tcPr>
            <w:tcW w:w="4258" w:type="dxa"/>
            <w:noWrap w:val="0"/>
            <w:vAlign w:val="center"/>
          </w:tcPr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1.成果在本省外2个省份以上的学校教学实践应用，并提供过程性应用材料；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2.成果具有密切相关的国家教学项目支撑；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3.成果在国家级新闻媒体上报道；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4.成果相关教育教学论文发表在CSSCI目录期刊2篇以上；</w:t>
            </w:r>
          </w:p>
          <w:p>
            <w:pPr>
              <w:snapToGrid w:val="0"/>
              <w:ind w:left="240" w:hanging="240" w:hangingChars="10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5.成果受益学生在国家级学科竞赛或发表论文、专利等方面有突出表现。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exact"/>
          <w:jc w:val="center"/>
        </w:trPr>
        <w:tc>
          <w:tcPr>
            <w:tcW w:w="17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省级教学成果一等奖</w:t>
            </w:r>
          </w:p>
        </w:tc>
        <w:tc>
          <w:tcPr>
            <w:tcW w:w="3051" w:type="dxa"/>
            <w:noWrap w:val="0"/>
            <w:vAlign w:val="center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在已有成果基础上部分首创，在教育教学改革方面迈出重大步伐，达到省内领先水平，并取得显著的人才培养效益，具有较大应用推广价值。</w:t>
            </w:r>
          </w:p>
        </w:tc>
        <w:tc>
          <w:tcPr>
            <w:tcW w:w="4258" w:type="dxa"/>
            <w:noWrap w:val="0"/>
            <w:vAlign w:val="center"/>
          </w:tcPr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1.成果在本校外2所及以上学校教学实践应用；并提供过程性应用材料；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2.成果具有密切相关的省级及以上教学项目支撑；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3.成果在省级及以上新闻媒体上报道；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4.成果相关教育教学论文发表在CSSCI目录期刊1篇以上；</w:t>
            </w:r>
          </w:p>
          <w:p>
            <w:pPr>
              <w:snapToGrid w:val="0"/>
              <w:ind w:left="240" w:hanging="240" w:hangingChars="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5.成果受益学生在省级及以上学科竞赛或发表论文、专利等方面有突出表现。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exact"/>
          <w:jc w:val="center"/>
        </w:trPr>
        <w:tc>
          <w:tcPr>
            <w:tcW w:w="17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省级教学成果二等奖</w:t>
            </w:r>
          </w:p>
        </w:tc>
        <w:tc>
          <w:tcPr>
            <w:tcW w:w="3051" w:type="dxa"/>
            <w:noWrap w:val="0"/>
            <w:vAlign w:val="center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在运用已有成果的过程中有创新和发展，达到省内先进水平，并取得较大的人才培养效益，具有推广应用价值。</w:t>
            </w:r>
          </w:p>
        </w:tc>
        <w:tc>
          <w:tcPr>
            <w:tcW w:w="4258" w:type="dxa"/>
            <w:noWrap w:val="0"/>
            <w:vAlign w:val="center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1.成果在其他学校教学实践应用。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2.成果具有密切相关的省级及以上教学项目支撑；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3.成果在市级及以上新闻媒体上报道；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4.成果相关教育教学论文发表在CN期刊2篇以上；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5.成果受益学生在省级学科竞赛或发表论文、专利等方面有突出表现。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7385" cy="247015"/>
              <wp:effectExtent l="0" t="0" r="0" b="0"/>
              <wp:wrapSquare wrapText="bothSides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1365" cy="247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5"/>
                              <w:rFonts w:hint="eastAsia" w:ascii="仿宋_GB2312" w:hAnsi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5"/>
                              <w:rFonts w:hint="eastAsia" w:ascii="仿宋_GB2312" w:hAnsi="仿宋_GB2312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仿宋_GB2312" w:hAnsi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  <w:rFonts w:hint="eastAsia" w:ascii="仿宋_GB2312" w:hAnsi="仿宋_GB2312"/>
                              <w:sz w:val="30"/>
                              <w:szCs w:val="30"/>
                            </w:rPr>
                            <w:instrText xml:space="preserve">PAGE  </w:instrText>
                          </w:r>
                          <w:r>
                            <w:rPr>
                              <w:rFonts w:ascii="仿宋_GB2312" w:hAnsi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  <w:rFonts w:ascii="仿宋_GB2312" w:hAnsi="仿宋_GB2312"/>
                              <w:sz w:val="30"/>
                              <w:szCs w:val="30"/>
                            </w:rPr>
                            <w:t>2</w:t>
                          </w:r>
                          <w:r>
                            <w:rPr>
                              <w:rFonts w:ascii="仿宋_GB2312" w:hAnsi="仿宋_GB2312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Style w:val="5"/>
                              <w:rFonts w:hint="eastAsia" w:ascii="仿宋_GB2312" w:hAnsi="仿宋_GB2312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9.45pt;width:52.55pt;mso-position-horizontal:outside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HSvMMdIAAAAEAQAADwAAAAAAAAABACAAAAAiAAAA&#10;ZHJzL2Rvd25yZXYueG1sUEsBAhQAFAAAAAgAh07iQK/WUbfUAQAApQMAAA4AAAAAAAAAAQAgAAAA&#10;IQEAAGRycy9lMm9Eb2MueG1sUEsFBgAAAAAGAAYAWQEAAGc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  <w:rFonts w:hint="eastAsia" w:ascii="仿宋_GB2312" w:hAnsi="仿宋_GB2312"/>
                        <w:sz w:val="30"/>
                        <w:szCs w:val="30"/>
                      </w:rPr>
                    </w:pPr>
                    <w:r>
                      <w:rPr>
                        <w:rStyle w:val="5"/>
                        <w:rFonts w:hint="eastAsia" w:ascii="仿宋_GB2312" w:hAnsi="仿宋_GB2312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仿宋_GB2312" w:hAnsi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5"/>
                        <w:rFonts w:hint="eastAsia" w:ascii="仿宋_GB2312" w:hAnsi="仿宋_GB2312"/>
                        <w:sz w:val="30"/>
                        <w:szCs w:val="30"/>
                      </w:rPr>
                      <w:instrText xml:space="preserve">PAGE  </w:instrText>
                    </w:r>
                    <w:r>
                      <w:rPr>
                        <w:rFonts w:ascii="仿宋_GB2312" w:hAnsi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5"/>
                        <w:rFonts w:ascii="仿宋_GB2312" w:hAnsi="仿宋_GB2312"/>
                        <w:sz w:val="30"/>
                        <w:szCs w:val="30"/>
                      </w:rPr>
                      <w:t>2</w:t>
                    </w:r>
                    <w:r>
                      <w:rPr>
                        <w:rFonts w:ascii="仿宋_GB2312" w:hAnsi="仿宋_GB2312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Style w:val="5"/>
                        <w:rFonts w:hint="eastAsia" w:ascii="仿宋_GB2312" w:hAnsi="仿宋_GB2312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6FD4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styleId="5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2024-07-14T11:56:35Z</dcterms:created>
  <dc:creator>Administrator</dc:creator>
  <cp:lastModifiedBy>吴美美</cp:lastModifiedBy>
  <dcterms:modified xsi:type="dcterms:W3CDTF">2024-07-14T11:56:46Z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E40C164451F8432C8055374A413D2618_12</vt:lpwstr>
  </property>
</Properties>
</file>