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62CC9">
      <w:pPr>
        <w:rPr>
          <w:rFonts w:hint="eastAsia" w:ascii="仿宋" w:hAnsi="仿宋" w:eastAsia="仿宋" w:cs="仿宋"/>
          <w:sz w:val="32"/>
          <w:szCs w:val="32"/>
        </w:rPr>
      </w:pPr>
    </w:p>
    <w:p w14:paraId="12270D5C">
      <w:pPr>
        <w:snapToGrid w:val="0"/>
        <w:jc w:val="center"/>
        <w:rPr>
          <w:rFonts w:hint="eastAsia" w:ascii="仿宋" w:hAnsi="仿宋" w:eastAsia="仿宋" w:cs="仿宋"/>
          <w:b/>
          <w:bCs/>
          <w:sz w:val="44"/>
          <w:szCs w:val="44"/>
        </w:rPr>
      </w:pPr>
      <w:r>
        <w:rPr>
          <w:rFonts w:hint="eastAsia" w:ascii="仿宋" w:hAnsi="仿宋" w:eastAsia="仿宋" w:cs="仿宋"/>
          <w:b/>
          <w:bCs/>
          <w:sz w:val="44"/>
          <w:szCs w:val="44"/>
        </w:rPr>
        <w:t>河南省本科高等教育教学成果奖</w:t>
      </w:r>
    </w:p>
    <w:p w14:paraId="272EDD60">
      <w:pPr>
        <w:jc w:val="center"/>
        <w:rPr>
          <w:rFonts w:hint="eastAsia" w:ascii="仿宋" w:hAnsi="仿宋" w:eastAsia="仿宋" w:cs="仿宋"/>
          <w:kern w:val="2"/>
          <w:sz w:val="32"/>
          <w:szCs w:val="32"/>
          <w:lang w:val="en-US" w:eastAsia="zh-CN" w:bidi="ar"/>
        </w:rPr>
      </w:pPr>
    </w:p>
    <w:p w14:paraId="54F626E3">
      <w:pPr>
        <w:jc w:val="center"/>
        <w:rPr>
          <w:rFonts w:hint="eastAsia" w:ascii="仿宋" w:hAnsi="仿宋" w:eastAsia="仿宋" w:cs="仿宋"/>
          <w:sz w:val="36"/>
          <w:szCs w:val="32"/>
        </w:rPr>
      </w:pPr>
      <w:r>
        <w:rPr>
          <w:rFonts w:hint="eastAsia" w:ascii="仿宋" w:hAnsi="仿宋" w:eastAsia="仿宋" w:cs="仿宋"/>
          <w:kern w:val="2"/>
          <w:sz w:val="32"/>
          <w:szCs w:val="32"/>
          <w:lang w:val="en-US" w:eastAsia="zh-CN" w:bidi="ar"/>
        </w:rPr>
        <w:t>教学成果总结报告</w:t>
      </w:r>
    </w:p>
    <w:p w14:paraId="67B058A2">
      <w:pPr>
        <w:rPr>
          <w:rFonts w:hint="eastAsia" w:ascii="仿宋" w:hAnsi="仿宋" w:eastAsia="仿宋" w:cs="仿宋"/>
          <w:sz w:val="36"/>
          <w:szCs w:val="32"/>
        </w:rPr>
      </w:pPr>
    </w:p>
    <w:tbl>
      <w:tblPr>
        <w:tblStyle w:val="12"/>
        <w:tblW w:w="0" w:type="auto"/>
        <w:tblInd w:w="0" w:type="dxa"/>
        <w:tblLayout w:type="fixed"/>
        <w:tblCellMar>
          <w:top w:w="0" w:type="dxa"/>
          <w:left w:w="108" w:type="dxa"/>
          <w:bottom w:w="0" w:type="dxa"/>
          <w:right w:w="108" w:type="dxa"/>
        </w:tblCellMar>
      </w:tblPr>
      <w:tblGrid>
        <w:gridCol w:w="2267"/>
        <w:gridCol w:w="6680"/>
      </w:tblGrid>
      <w:tr w14:paraId="2809CE4E">
        <w:tblPrEx>
          <w:tblCellMar>
            <w:top w:w="0" w:type="dxa"/>
            <w:left w:w="108" w:type="dxa"/>
            <w:bottom w:w="0" w:type="dxa"/>
            <w:right w:w="108" w:type="dxa"/>
          </w:tblCellMar>
        </w:tblPrEx>
        <w:tc>
          <w:tcPr>
            <w:tcW w:w="2267" w:type="dxa"/>
            <w:noWrap w:val="0"/>
            <w:vAlign w:val="top"/>
          </w:tcPr>
          <w:p w14:paraId="736CAC14">
            <w:pPr>
              <w:keepNext w:val="0"/>
              <w:keepLines w:val="0"/>
              <w:suppressLineNumbers w:val="0"/>
              <w:spacing w:before="0" w:beforeAutospacing="0" w:after="0" w:afterAutospacing="0"/>
              <w:ind w:left="0" w:right="0"/>
              <w:jc w:val="distribute"/>
              <w:rPr>
                <w:rFonts w:hint="eastAsia" w:ascii="仿宋" w:hAnsi="仿宋" w:eastAsia="仿宋" w:cs="仿宋"/>
              </w:rPr>
            </w:pPr>
            <w:r>
              <w:rPr>
                <w:rFonts w:hint="eastAsia" w:ascii="仿宋" w:hAnsi="仿宋" w:eastAsia="仿宋" w:cs="仿宋"/>
                <w:sz w:val="32"/>
                <w:szCs w:val="32"/>
              </w:rPr>
              <w:t>成果名称</w:t>
            </w:r>
          </w:p>
        </w:tc>
        <w:tc>
          <w:tcPr>
            <w:tcW w:w="6680" w:type="dxa"/>
            <w:noWrap w:val="0"/>
            <w:vAlign w:val="top"/>
          </w:tcPr>
          <w:p w14:paraId="16DC1EEF">
            <w:pPr>
              <w:keepNext w:val="0"/>
              <w:keepLines w:val="0"/>
              <w:suppressLineNumbers w:val="0"/>
              <w:spacing w:before="0" w:beforeAutospacing="0" w:after="0" w:afterAutospacing="0"/>
              <w:ind w:left="0" w:right="0" w:firstLine="320" w:firstLineChars="100"/>
              <w:rPr>
                <w:rFonts w:hint="eastAsia" w:ascii="仿宋" w:hAnsi="仿宋" w:eastAsia="仿宋" w:cs="仿宋"/>
                <w:sz w:val="32"/>
                <w:szCs w:val="32"/>
              </w:rPr>
            </w:pPr>
            <w:r>
              <w:rPr>
                <w:rFonts w:hint="eastAsia" w:ascii="仿宋" w:hAnsi="仿宋" w:eastAsia="仿宋" w:cs="仿宋"/>
                <w:sz w:val="32"/>
                <w:szCs w:val="32"/>
              </w:rPr>
              <w:t>区域特色骨干大学产教融合研究与实践</w:t>
            </w:r>
          </w:p>
        </w:tc>
      </w:tr>
      <w:tr w14:paraId="711207CF">
        <w:tblPrEx>
          <w:tblCellMar>
            <w:top w:w="0" w:type="dxa"/>
            <w:left w:w="108" w:type="dxa"/>
            <w:bottom w:w="0" w:type="dxa"/>
            <w:right w:w="108" w:type="dxa"/>
          </w:tblCellMar>
        </w:tblPrEx>
        <w:tc>
          <w:tcPr>
            <w:tcW w:w="2267" w:type="dxa"/>
            <w:noWrap w:val="0"/>
            <w:vAlign w:val="top"/>
          </w:tcPr>
          <w:p w14:paraId="151E35B5">
            <w:pPr>
              <w:keepNext w:val="0"/>
              <w:keepLines w:val="0"/>
              <w:suppressLineNumbers w:val="0"/>
              <w:spacing w:before="0" w:beforeAutospacing="0" w:after="0" w:afterAutospacing="0"/>
              <w:ind w:left="0" w:right="0"/>
              <w:jc w:val="distribute"/>
              <w:rPr>
                <w:rFonts w:hint="eastAsia" w:ascii="仿宋" w:hAnsi="仿宋" w:eastAsia="仿宋" w:cs="仿宋"/>
              </w:rPr>
            </w:pPr>
            <w:r>
              <w:rPr>
                <w:rFonts w:hint="eastAsia" w:ascii="仿宋" w:hAnsi="仿宋" w:eastAsia="仿宋" w:cs="仿宋"/>
                <w:sz w:val="32"/>
                <w:szCs w:val="32"/>
              </w:rPr>
              <w:t>第一完成单位</w:t>
            </w:r>
          </w:p>
        </w:tc>
        <w:tc>
          <w:tcPr>
            <w:tcW w:w="6680" w:type="dxa"/>
            <w:noWrap w:val="0"/>
            <w:vAlign w:val="top"/>
          </w:tcPr>
          <w:p w14:paraId="5BA71370">
            <w:pPr>
              <w:keepNext w:val="0"/>
              <w:keepLines w:val="0"/>
              <w:suppressLineNumbers w:val="0"/>
              <w:spacing w:before="0" w:beforeAutospacing="0" w:after="0" w:afterAutospacing="0"/>
              <w:ind w:left="0" w:right="0"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河南农业大学</w:t>
            </w:r>
          </w:p>
        </w:tc>
      </w:tr>
      <w:tr w14:paraId="1AFBDBB8">
        <w:tc>
          <w:tcPr>
            <w:tcW w:w="2267" w:type="dxa"/>
            <w:noWrap w:val="0"/>
            <w:vAlign w:val="top"/>
          </w:tcPr>
          <w:p w14:paraId="5F0BA1C2">
            <w:pPr>
              <w:keepNext w:val="0"/>
              <w:keepLines w:val="0"/>
              <w:suppressLineNumbers w:val="0"/>
              <w:spacing w:before="0" w:beforeAutospacing="0" w:after="0" w:afterAutospacing="0"/>
              <w:ind w:left="0" w:right="0"/>
              <w:jc w:val="distribute"/>
              <w:rPr>
                <w:rFonts w:hint="eastAsia" w:ascii="仿宋" w:hAnsi="仿宋" w:eastAsia="仿宋" w:cs="仿宋"/>
              </w:rPr>
            </w:pPr>
            <w:r>
              <w:rPr>
                <w:rFonts w:hint="eastAsia" w:ascii="仿宋" w:hAnsi="仿宋" w:eastAsia="仿宋" w:cs="仿宋"/>
                <w:sz w:val="32"/>
                <w:szCs w:val="32"/>
              </w:rPr>
              <w:t>推荐序号</w:t>
            </w:r>
          </w:p>
        </w:tc>
        <w:tc>
          <w:tcPr>
            <w:tcW w:w="6680" w:type="dxa"/>
            <w:noWrap w:val="0"/>
            <w:vAlign w:val="top"/>
          </w:tcPr>
          <w:p w14:paraId="09583351">
            <w:pPr>
              <w:keepNext w:val="0"/>
              <w:keepLines w:val="0"/>
              <w:suppressLineNumbers w:val="0"/>
              <w:spacing w:before="0" w:beforeAutospacing="0" w:after="0" w:afterAutospacing="0"/>
              <w:ind w:left="0" w:right="0" w:firstLine="320" w:firstLineChars="100"/>
              <w:rPr>
                <w:rFonts w:hint="eastAsia" w:ascii="仿宋" w:hAnsi="仿宋" w:eastAsia="仿宋" w:cs="仿宋"/>
                <w:sz w:val="32"/>
                <w:szCs w:val="32"/>
              </w:rPr>
            </w:pPr>
            <w:r>
              <w:rPr>
                <w:rFonts w:hint="eastAsia" w:ascii="仿宋" w:hAnsi="仿宋" w:eastAsia="仿宋" w:cs="仿宋"/>
                <w:sz w:val="32"/>
                <w:szCs w:val="32"/>
                <w:u w:val="single"/>
              </w:rPr>
              <w:t>□□□□</w:t>
            </w:r>
          </w:p>
        </w:tc>
      </w:tr>
    </w:tbl>
    <w:p w14:paraId="455F3B81">
      <w:pPr>
        <w:rPr>
          <w:rFonts w:hint="eastAsia" w:ascii="仿宋" w:hAnsi="仿宋" w:eastAsia="仿宋" w:cs="仿宋"/>
          <w:sz w:val="32"/>
          <w:szCs w:val="32"/>
        </w:rPr>
      </w:pPr>
    </w:p>
    <w:p w14:paraId="228E42FB">
      <w:pPr>
        <w:rPr>
          <w:rFonts w:hint="eastAsia" w:ascii="仿宋" w:hAnsi="仿宋" w:eastAsia="仿宋" w:cs="仿宋"/>
        </w:rPr>
      </w:pPr>
    </w:p>
    <w:p w14:paraId="3173A85D">
      <w:pPr>
        <w:jc w:val="center"/>
        <w:rPr>
          <w:rFonts w:hint="eastAsia" w:ascii="仿宋" w:hAnsi="仿宋" w:eastAsia="仿宋" w:cs="仿宋"/>
          <w:b w:val="0"/>
          <w:bCs/>
          <w:sz w:val="44"/>
          <w:szCs w:val="44"/>
          <w:lang w:val="en-US" w:eastAsia="zh-CN"/>
        </w:rPr>
      </w:pPr>
    </w:p>
    <w:p w14:paraId="7EA0B86B">
      <w:pPr>
        <w:jc w:val="center"/>
        <w:rPr>
          <w:rFonts w:hint="eastAsia" w:ascii="仿宋" w:hAnsi="仿宋" w:eastAsia="仿宋" w:cs="仿宋"/>
          <w:b w:val="0"/>
          <w:bCs/>
          <w:sz w:val="44"/>
          <w:szCs w:val="44"/>
          <w:lang w:val="en-US" w:eastAsia="zh-CN"/>
        </w:rPr>
      </w:pPr>
    </w:p>
    <w:p w14:paraId="530A9470">
      <w:pPr>
        <w:jc w:val="center"/>
        <w:rPr>
          <w:rFonts w:hint="eastAsia" w:ascii="仿宋" w:hAnsi="仿宋" w:eastAsia="仿宋" w:cs="仿宋"/>
          <w:b w:val="0"/>
          <w:bCs/>
          <w:sz w:val="44"/>
          <w:szCs w:val="44"/>
          <w:lang w:val="en-US" w:eastAsia="zh-CN"/>
        </w:rPr>
      </w:pPr>
    </w:p>
    <w:p w14:paraId="6ABFA29B">
      <w:pPr>
        <w:jc w:val="center"/>
        <w:rPr>
          <w:rFonts w:hint="eastAsia" w:ascii="仿宋" w:hAnsi="仿宋" w:eastAsia="仿宋" w:cs="仿宋"/>
          <w:b w:val="0"/>
          <w:bCs/>
          <w:sz w:val="44"/>
          <w:szCs w:val="44"/>
          <w:lang w:val="en-US" w:eastAsia="zh-CN"/>
        </w:rPr>
      </w:pPr>
    </w:p>
    <w:p w14:paraId="6B8F372A">
      <w:pPr>
        <w:jc w:val="center"/>
        <w:rPr>
          <w:rFonts w:hint="eastAsia" w:ascii="仿宋" w:hAnsi="仿宋" w:eastAsia="仿宋" w:cs="仿宋"/>
          <w:b w:val="0"/>
          <w:bCs/>
          <w:sz w:val="44"/>
          <w:szCs w:val="44"/>
          <w:lang w:val="en-US" w:eastAsia="zh-CN"/>
        </w:rPr>
      </w:pPr>
    </w:p>
    <w:p w14:paraId="5C61D497">
      <w:pPr>
        <w:jc w:val="center"/>
        <w:rPr>
          <w:rFonts w:hint="eastAsia" w:ascii="仿宋" w:hAnsi="仿宋" w:eastAsia="仿宋" w:cs="仿宋"/>
          <w:sz w:val="32"/>
          <w:szCs w:val="32"/>
        </w:rPr>
      </w:pPr>
    </w:p>
    <w:p w14:paraId="02FBA5AA">
      <w:pPr>
        <w:jc w:val="center"/>
        <w:rPr>
          <w:rFonts w:hint="eastAsia" w:ascii="仿宋" w:hAnsi="仿宋" w:eastAsia="仿宋" w:cs="仿宋"/>
          <w:b/>
          <w:bCs/>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p>
    <w:p w14:paraId="547A707B">
      <w:pPr>
        <w:jc w:val="center"/>
        <w:rPr>
          <w:rFonts w:hint="eastAsia" w:ascii="仿宋" w:hAnsi="仿宋" w:eastAsia="仿宋" w:cs="仿宋"/>
          <w:b/>
          <w:bCs/>
          <w:sz w:val="32"/>
          <w:szCs w:val="32"/>
        </w:rPr>
      </w:pPr>
      <w:r>
        <w:rPr>
          <w:rFonts w:hint="eastAsia" w:ascii="仿宋" w:hAnsi="仿宋" w:eastAsia="仿宋" w:cs="仿宋"/>
          <w:b/>
          <w:bCs/>
          <w:sz w:val="32"/>
          <w:szCs w:val="32"/>
        </w:rPr>
        <w:t>教学成果总结报告</w:t>
      </w:r>
    </w:p>
    <w:p w14:paraId="32147A40">
      <w:pPr>
        <w:jc w:val="center"/>
        <w:rPr>
          <w:rFonts w:hint="eastAsia" w:ascii="仿宋" w:hAnsi="仿宋" w:eastAsia="仿宋" w:cs="仿宋"/>
          <w:sz w:val="32"/>
          <w:szCs w:val="32"/>
          <w:lang w:eastAsia="zh-CN"/>
        </w:rPr>
      </w:pPr>
    </w:p>
    <w:p w14:paraId="67040356">
      <w:p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eastAsia="zh-CN"/>
        </w:rPr>
        <w:t>《</w:t>
      </w:r>
      <w:r>
        <w:rPr>
          <w:rFonts w:hint="eastAsia" w:ascii="仿宋" w:hAnsi="仿宋" w:eastAsia="仿宋" w:cs="仿宋"/>
          <w:b/>
          <w:bCs/>
          <w:sz w:val="32"/>
          <w:szCs w:val="32"/>
        </w:rPr>
        <w:t>区域特色骨干大学产教融合研究与实践</w:t>
      </w: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成果简介</w:t>
      </w:r>
    </w:p>
    <w:p w14:paraId="396CF251">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1.引言</w:t>
      </w:r>
    </w:p>
    <w:p w14:paraId="7BA80F73">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特色骨干大学是河南省对原行业高水平大学的独特称谓。长期依托行业、服务行业，在其长期办学过程中形成了与行业产业密切相关的办学优势和学科特色。产教融合是在政府主导下的教育界与产业界的深度合作，是服务大国崛起及国家区域经济发展的重要保障，更是高校人才培养质量提升的必然选择。高等教育产教融合的目标是通过整合校、企、政等多方优势资源和力量，实现教育链、人才链与产业链、创新链等“四链融合”，从而彻底解决教育供给侧和产业需求侧的“两张皮”问题。</w:t>
      </w:r>
    </w:p>
    <w:p w14:paraId="60713F9D">
      <w:pPr>
        <w:pStyle w:val="6"/>
        <w:spacing w:line="360" w:lineRule="auto"/>
        <w:ind w:firstLine="42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是经济大省、农业大省、教育人口大省和新型工业大省，实现供给侧结构性改革和经济转型升级目标，需要大量特色、专业、创新型人才和创新性科技成果支撑,更需要产教深度融合，相互促进，相得益彰。多年来，我省以河南农业大学、河南科技大学、河南师范大学等为代表的特色骨干大学，面向产业发展和转型发展需求，充分发挥人才和科技优势，在产教融合方面做出了重要的贡献，办学水平和人才培养质量不断提高，学科专业结构进一步优化，科技创新能力持续提升，成果转化能力不断增强，已成为支撑河南经济社会发展的重要力量。</w:t>
      </w:r>
    </w:p>
    <w:p w14:paraId="7B985417">
      <w:pPr>
        <w:pStyle w:val="6"/>
        <w:spacing w:line="360" w:lineRule="auto"/>
        <w:outlineLvl w:val="9"/>
        <w:rPr>
          <w:rFonts w:hint="eastAsia" w:ascii="仿宋" w:hAnsi="仿宋" w:eastAsia="仿宋" w:cs="仿宋"/>
          <w:bCs/>
          <w:sz w:val="28"/>
          <w:szCs w:val="28"/>
          <w:lang w:val="en-US" w:eastAsia="zh-CN"/>
        </w:rPr>
      </w:pPr>
      <w:r>
        <w:rPr>
          <w:rFonts w:hint="eastAsia" w:ascii="仿宋" w:hAnsi="仿宋" w:eastAsia="仿宋" w:cs="仿宋"/>
          <w:b/>
          <w:bCs/>
          <w:sz w:val="28"/>
          <w:szCs w:val="28"/>
          <w:lang w:val="en-US" w:eastAsia="zh-CN"/>
        </w:rPr>
        <w:t>2.</w:t>
      </w:r>
      <w:r>
        <w:rPr>
          <w:rFonts w:hint="eastAsia" w:ascii="仿宋" w:hAnsi="仿宋" w:eastAsia="仿宋" w:cs="仿宋"/>
          <w:bCs/>
          <w:sz w:val="28"/>
          <w:szCs w:val="28"/>
        </w:rPr>
        <w:t>区域特色骨干大学产教融合的</w:t>
      </w:r>
      <w:r>
        <w:rPr>
          <w:rFonts w:hint="eastAsia" w:ascii="仿宋" w:hAnsi="仿宋" w:eastAsia="仿宋" w:cs="仿宋"/>
          <w:bCs/>
          <w:sz w:val="28"/>
          <w:szCs w:val="28"/>
          <w:lang w:val="en-US" w:eastAsia="zh-CN"/>
        </w:rPr>
        <w:t>措施</w:t>
      </w:r>
    </w:p>
    <w:p w14:paraId="2B1FE4E4">
      <w:pPr>
        <w:pStyle w:val="6"/>
        <w:spacing w:line="360" w:lineRule="auto"/>
        <w:outlineLvl w:val="9"/>
        <w:rPr>
          <w:rFonts w:hint="eastAsia" w:ascii="仿宋" w:hAnsi="仿宋" w:eastAsia="仿宋" w:cs="仿宋"/>
          <w:b/>
          <w:bCs w:val="0"/>
          <w:sz w:val="24"/>
          <w:szCs w:val="24"/>
          <w:lang w:val="en-US" w:eastAsia="zh-CN"/>
        </w:rPr>
      </w:pPr>
      <w:bookmarkStart w:id="0" w:name="_Toc30348"/>
      <w:r>
        <w:rPr>
          <w:rFonts w:hint="eastAsia" w:ascii="仿宋" w:hAnsi="仿宋" w:eastAsia="仿宋" w:cs="仿宋"/>
          <w:b/>
          <w:bCs w:val="0"/>
          <w:sz w:val="24"/>
          <w:szCs w:val="24"/>
          <w:lang w:val="en-US" w:eastAsia="zh-CN"/>
        </w:rPr>
        <w:t>2.1以人为本，培养社会需要人才</w:t>
      </w:r>
      <w:bookmarkEnd w:id="0"/>
    </w:p>
    <w:p w14:paraId="50970C5C">
      <w:pPr>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河南省</w:t>
      </w: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都坚持把“办好人民满意的教育”作为立校之本，积极贯彻教育行政主管部门的顶层设计，制定切实可行发展规划，改革体制机制，以培养社会需要的优秀人才为根本，以服务区域经济社会发展为支撑，增强特色发展能力，以特色发展带动全面发展。</w:t>
      </w:r>
    </w:p>
    <w:p w14:paraId="2AAB8ADD">
      <w:pPr>
        <w:pStyle w:val="6"/>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sz w:val="21"/>
          <w:szCs w:val="21"/>
          <w:lang w:val="en-US" w:eastAsia="zh-CN"/>
        </w:rPr>
        <w:t>河南农业大学通过实施以核心课程建设、卓越农林人才培养为引领的教学改革，先后多次优化培养方案,全力构建拔尖创新型、复合应用型、技能应用型“三位一体”的卓越农林人才培养体系，成功入选国家首批卓越农林人才教育培养计划改革试点高校。</w:t>
      </w:r>
      <w:r>
        <w:rPr>
          <w:rFonts w:hint="eastAsia" w:ascii="仿宋" w:hAnsi="仿宋" w:eastAsia="仿宋" w:cs="仿宋"/>
          <w:bCs/>
          <w:kern w:val="2"/>
          <w:sz w:val="21"/>
          <w:szCs w:val="21"/>
          <w:lang w:val="en-US" w:eastAsia="zh-CN" w:bidi="ar-SA"/>
        </w:rPr>
        <w:t>河南科技大学设有全国唯一的轴承专业方向，为我国轴承行业的人才培养和技术进步做出了杰出贡献。依托洛阳独特的区位优势，与洛阳轴研所、中机十院和洛阳 LYC 形成了“一校、一所、一院、一厂”的轴承工业产学研用创新体系，被誉为“中国轴承行业的黄埔军校”。</w:t>
      </w:r>
    </w:p>
    <w:p w14:paraId="7FECDAD6">
      <w:pPr>
        <w:pStyle w:val="6"/>
        <w:spacing w:line="360" w:lineRule="auto"/>
        <w:outlineLvl w:val="9"/>
        <w:rPr>
          <w:rFonts w:hint="eastAsia" w:ascii="仿宋" w:hAnsi="仿宋" w:eastAsia="仿宋" w:cs="仿宋"/>
          <w:b/>
          <w:bCs w:val="0"/>
          <w:sz w:val="24"/>
          <w:szCs w:val="24"/>
          <w:lang w:val="en-US" w:eastAsia="zh-CN"/>
        </w:rPr>
      </w:pPr>
      <w:bookmarkStart w:id="1" w:name="_Toc31086"/>
      <w:r>
        <w:rPr>
          <w:rFonts w:hint="eastAsia" w:ascii="仿宋" w:hAnsi="仿宋" w:eastAsia="仿宋" w:cs="仿宋"/>
          <w:b/>
          <w:bCs w:val="0"/>
          <w:sz w:val="24"/>
          <w:szCs w:val="24"/>
          <w:lang w:val="en-US" w:eastAsia="zh-CN"/>
        </w:rPr>
        <w:t>2.2服务至上，支撑区域经济发展</w:t>
      </w:r>
      <w:bookmarkEnd w:id="1"/>
    </w:p>
    <w:p w14:paraId="5BD78020">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河南省</w:t>
      </w: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长期坚持“以服务求支持、以贡献求发展”理念，以决策咨询、技术指导、信息服务、人才培养等多种形式，强力支撑区域经济社会发展。</w:t>
      </w:r>
    </w:p>
    <w:p w14:paraId="6DDD47AE">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河南师范大学联合全国山药科研、管理、生产、加工、流通、销售等产业主体资源，建立“国家山药产业科技创新联盟”打造山药产业各方信息交流平台和技术创新协作平台，保障了我国800 万亩山药的稳产、高产，选育的金银花新品种“豫金1 号”等8 个道地药材新品种，在全国累计种植面积超50 万亩，种植户增收超过10 亿元。</w:t>
      </w:r>
    </w:p>
    <w:p w14:paraId="113E64D5">
      <w:pPr>
        <w:pStyle w:val="6"/>
        <w:spacing w:line="360" w:lineRule="auto"/>
        <w:outlineLvl w:val="9"/>
        <w:rPr>
          <w:rFonts w:hint="eastAsia" w:ascii="仿宋" w:hAnsi="仿宋" w:eastAsia="仿宋" w:cs="仿宋"/>
          <w:b/>
          <w:bCs w:val="0"/>
          <w:sz w:val="24"/>
          <w:szCs w:val="24"/>
          <w:lang w:val="en-US" w:eastAsia="zh-CN"/>
        </w:rPr>
      </w:pPr>
      <w:bookmarkStart w:id="2" w:name="_Toc29384"/>
      <w:r>
        <w:rPr>
          <w:rFonts w:hint="eastAsia" w:ascii="仿宋" w:hAnsi="仿宋" w:eastAsia="仿宋" w:cs="仿宋"/>
          <w:b/>
          <w:bCs w:val="0"/>
          <w:sz w:val="24"/>
          <w:szCs w:val="24"/>
          <w:lang w:val="en-US" w:eastAsia="zh-CN"/>
        </w:rPr>
        <w:t>2.3深度融合，促进办学水平提升</w:t>
      </w:r>
      <w:bookmarkEnd w:id="2"/>
    </w:p>
    <w:p w14:paraId="4C21F551">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河南省是全国最早启动省级“2011计划”的省份之一，协同创新中心目前有国家级1个，省级 40多 个，分布在多个特色骨干大学，协同创新中心已经成为这些高校提升学科发展科技创新的新引擎、产教融合校企合作的高平台，很好地促进了政产学研用的融合与办学水平的提升。河南科技大学通过与洛阳市共管共享体育中心、共建新区医院、共建新区图书馆，丰富了办学资源，增强了办学实力。通过与行业协同共建，强化、拓展与机械工业系统、农业系统、医药卫生系统、国防科技工业系统等行业的联系与合作，建立多行业、多形式的产学研合作联盟，实现与行业发展的互利共赢。</w:t>
      </w:r>
    </w:p>
    <w:p w14:paraId="545A3CA1">
      <w:pPr>
        <w:pStyle w:val="6"/>
        <w:spacing w:line="360" w:lineRule="auto"/>
        <w:outlineLvl w:val="9"/>
        <w:rPr>
          <w:rFonts w:hint="eastAsia" w:ascii="仿宋" w:hAnsi="仿宋" w:eastAsia="仿宋" w:cs="仿宋"/>
          <w:b/>
          <w:bCs w:val="0"/>
          <w:sz w:val="24"/>
          <w:szCs w:val="24"/>
          <w:lang w:val="en-US" w:eastAsia="zh-CN"/>
        </w:rPr>
      </w:pPr>
      <w:bookmarkStart w:id="3" w:name="_Toc3558"/>
      <w:r>
        <w:rPr>
          <w:rFonts w:hint="eastAsia" w:ascii="仿宋" w:hAnsi="仿宋" w:eastAsia="仿宋" w:cs="仿宋"/>
          <w:b/>
          <w:bCs w:val="0"/>
          <w:sz w:val="24"/>
          <w:szCs w:val="24"/>
          <w:lang w:val="en-US" w:eastAsia="zh-CN"/>
        </w:rPr>
        <w:t>2.4健全制度，规范融合发展环境</w:t>
      </w:r>
      <w:bookmarkEnd w:id="3"/>
    </w:p>
    <w:p w14:paraId="15549400">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 w:val="0"/>
          <w:bCs/>
          <w:kern w:val="2"/>
          <w:sz w:val="21"/>
          <w:szCs w:val="21"/>
          <w:lang w:val="en-US" w:eastAsia="zh-CN" w:bidi="ar-SA"/>
        </w:rPr>
        <w:t>有效的管理是实现产教融合的必要条件。首先，制定产教融合主体近期和远期的发展规划。其次，建立高素质的管理队伍。其三，制定完善的制度体系。河南农业大学先后出台《科技创新团队建设与管理办法》</w:t>
      </w:r>
      <w:r>
        <w:rPr>
          <w:rFonts w:hint="eastAsia" w:ascii="仿宋" w:hAnsi="仿宋" w:eastAsia="仿宋" w:cs="仿宋"/>
          <w:b w:val="0"/>
          <w:bCs/>
          <w:kern w:val="2"/>
          <w:sz w:val="21"/>
          <w:szCs w:val="21"/>
          <w:lang w:val="en-US" w:eastAsia="zh-CN" w:bidi="ar-SA"/>
        </w:rPr>
        <w:fldChar w:fldCharType="begin"/>
      </w:r>
      <w:r>
        <w:rPr>
          <w:rFonts w:hint="eastAsia" w:ascii="仿宋" w:hAnsi="仿宋" w:eastAsia="仿宋" w:cs="仿宋"/>
          <w:b w:val="0"/>
          <w:bCs/>
          <w:kern w:val="2"/>
          <w:sz w:val="21"/>
          <w:szCs w:val="21"/>
          <w:lang w:val="en-US" w:eastAsia="zh-CN" w:bidi="ar-SA"/>
        </w:rPr>
        <w:instrText xml:space="preserve"> HYPERLINK "https://kjc.henau.edu.cn/a/zhengcefagui/20230506/5452.html" \o "河南农业大学 科技创新团队考核评价实施细则（修订）" </w:instrText>
      </w:r>
      <w:r>
        <w:rPr>
          <w:rFonts w:hint="eastAsia" w:ascii="仿宋" w:hAnsi="仿宋" w:eastAsia="仿宋" w:cs="仿宋"/>
          <w:b w:val="0"/>
          <w:bCs/>
          <w:kern w:val="2"/>
          <w:sz w:val="21"/>
          <w:szCs w:val="21"/>
          <w:lang w:val="en-US" w:eastAsia="zh-CN" w:bidi="ar-SA"/>
        </w:rPr>
        <w:fldChar w:fldCharType="separate"/>
      </w:r>
      <w:r>
        <w:rPr>
          <w:rFonts w:hint="eastAsia" w:ascii="仿宋" w:hAnsi="仿宋" w:eastAsia="仿宋" w:cs="仿宋"/>
          <w:b w:val="0"/>
          <w:bCs/>
          <w:kern w:val="2"/>
          <w:sz w:val="21"/>
          <w:szCs w:val="21"/>
          <w:lang w:val="en-US" w:eastAsia="zh-CN" w:bidi="ar-SA"/>
        </w:rPr>
        <w:t> 《科技创新团队考核评价实施细则》</w:t>
      </w:r>
      <w:r>
        <w:rPr>
          <w:rFonts w:hint="eastAsia" w:ascii="仿宋" w:hAnsi="仿宋" w:eastAsia="仿宋" w:cs="仿宋"/>
          <w:b w:val="0"/>
          <w:bCs/>
          <w:kern w:val="2"/>
          <w:sz w:val="21"/>
          <w:szCs w:val="21"/>
          <w:lang w:val="en-US" w:eastAsia="zh-CN" w:bidi="ar-SA"/>
        </w:rPr>
        <w:fldChar w:fldCharType="end"/>
      </w:r>
      <w:r>
        <w:rPr>
          <w:rFonts w:hint="eastAsia" w:ascii="仿宋" w:hAnsi="仿宋" w:eastAsia="仿宋" w:cs="仿宋"/>
          <w:b w:val="0"/>
          <w:bCs/>
          <w:kern w:val="2"/>
          <w:sz w:val="21"/>
          <w:szCs w:val="21"/>
          <w:lang w:val="en-US" w:eastAsia="zh-CN" w:bidi="ar-SA"/>
        </w:rPr>
        <w:t>《</w:t>
      </w:r>
      <w:r>
        <w:rPr>
          <w:rFonts w:hint="eastAsia" w:ascii="仿宋" w:hAnsi="仿宋" w:eastAsia="仿宋" w:cs="仿宋"/>
          <w:b w:val="0"/>
          <w:bCs/>
          <w:kern w:val="2"/>
          <w:sz w:val="21"/>
          <w:szCs w:val="21"/>
          <w:lang w:val="en-US" w:eastAsia="zh-CN" w:bidi="ar-SA"/>
        </w:rPr>
        <w:fldChar w:fldCharType="begin"/>
      </w:r>
      <w:r>
        <w:rPr>
          <w:rFonts w:hint="eastAsia" w:ascii="仿宋" w:hAnsi="仿宋" w:eastAsia="仿宋" w:cs="仿宋"/>
          <w:b w:val="0"/>
          <w:bCs/>
          <w:kern w:val="2"/>
          <w:sz w:val="21"/>
          <w:szCs w:val="21"/>
          <w:lang w:val="en-US" w:eastAsia="zh-CN" w:bidi="ar-SA"/>
        </w:rPr>
        <w:instrText xml:space="preserve"> HYPERLINK "https://kjc.henau.edu.cn/a/zhengcefagui/xiaonazhengce/20220311/4678.html" \o "河南农业大学科技创新基金实施办法（修订）" </w:instrText>
      </w:r>
      <w:r>
        <w:rPr>
          <w:rFonts w:hint="eastAsia" w:ascii="仿宋" w:hAnsi="仿宋" w:eastAsia="仿宋" w:cs="仿宋"/>
          <w:b w:val="0"/>
          <w:bCs/>
          <w:kern w:val="2"/>
          <w:sz w:val="21"/>
          <w:szCs w:val="21"/>
          <w:lang w:val="en-US" w:eastAsia="zh-CN" w:bidi="ar-SA"/>
        </w:rPr>
        <w:fldChar w:fldCharType="separate"/>
      </w:r>
      <w:r>
        <w:rPr>
          <w:rFonts w:hint="eastAsia" w:ascii="仿宋" w:hAnsi="仿宋" w:eastAsia="仿宋" w:cs="仿宋"/>
          <w:b w:val="0"/>
          <w:bCs/>
          <w:kern w:val="2"/>
          <w:sz w:val="21"/>
          <w:szCs w:val="21"/>
          <w:lang w:val="en-US" w:eastAsia="zh-CN" w:bidi="ar-SA"/>
        </w:rPr>
        <w:t>科技创新基金实施办法</w:t>
      </w:r>
      <w:r>
        <w:rPr>
          <w:rFonts w:hint="eastAsia" w:ascii="仿宋" w:hAnsi="仿宋" w:eastAsia="仿宋" w:cs="仿宋"/>
          <w:b w:val="0"/>
          <w:bCs/>
          <w:kern w:val="2"/>
          <w:sz w:val="21"/>
          <w:szCs w:val="21"/>
          <w:lang w:val="en-US" w:eastAsia="zh-CN" w:bidi="ar-SA"/>
        </w:rPr>
        <w:fldChar w:fldCharType="end"/>
      </w:r>
      <w:r>
        <w:rPr>
          <w:rFonts w:hint="eastAsia" w:ascii="仿宋" w:hAnsi="仿宋" w:eastAsia="仿宋" w:cs="仿宋"/>
          <w:b w:val="0"/>
          <w:bCs/>
          <w:kern w:val="2"/>
          <w:sz w:val="21"/>
          <w:szCs w:val="21"/>
          <w:lang w:val="en-US" w:eastAsia="zh-CN" w:bidi="ar-SA"/>
        </w:rPr>
        <w:t>》《科技成果转化管理办法》《关于进一步加强社会服务工作的意见》《服务乡村振兴战略行动计划》等文件，对产教融合校企合作的相关活动进行了规范，确保了相关工作的高效运转。</w:t>
      </w:r>
    </w:p>
    <w:p w14:paraId="7E300CD9">
      <w:pPr>
        <w:pStyle w:val="6"/>
        <w:spacing w:line="360" w:lineRule="auto"/>
        <w:outlineLvl w:val="9"/>
        <w:rPr>
          <w:rFonts w:hint="eastAsia" w:ascii="仿宋" w:hAnsi="仿宋" w:eastAsia="仿宋" w:cs="仿宋"/>
          <w:bCs/>
          <w:sz w:val="28"/>
          <w:szCs w:val="28"/>
          <w:lang w:val="en-US" w:eastAsia="zh-CN"/>
        </w:rPr>
      </w:pPr>
      <w:bookmarkStart w:id="4" w:name="_Toc16250"/>
      <w:r>
        <w:rPr>
          <w:rFonts w:hint="eastAsia" w:ascii="仿宋" w:hAnsi="仿宋" w:eastAsia="仿宋" w:cs="仿宋"/>
          <w:bCs/>
          <w:sz w:val="28"/>
          <w:szCs w:val="28"/>
          <w:lang w:val="en-US" w:eastAsia="zh-CN"/>
        </w:rPr>
        <w:t>3.</w:t>
      </w:r>
      <w:r>
        <w:rPr>
          <w:rFonts w:hint="eastAsia" w:ascii="仿宋" w:hAnsi="仿宋" w:eastAsia="仿宋" w:cs="仿宋"/>
          <w:bCs/>
          <w:sz w:val="28"/>
          <w:szCs w:val="28"/>
        </w:rPr>
        <w:t>区域特色骨干大学产教融合的</w:t>
      </w:r>
      <w:r>
        <w:rPr>
          <w:rFonts w:hint="eastAsia" w:ascii="仿宋" w:hAnsi="仿宋" w:eastAsia="仿宋" w:cs="仿宋"/>
          <w:bCs/>
          <w:sz w:val="28"/>
          <w:szCs w:val="28"/>
          <w:lang w:val="en-US" w:eastAsia="zh-CN"/>
        </w:rPr>
        <w:t>特色</w:t>
      </w:r>
      <w:bookmarkEnd w:id="4"/>
    </w:p>
    <w:p w14:paraId="14FD378B">
      <w:pPr>
        <w:pStyle w:val="6"/>
        <w:spacing w:line="360" w:lineRule="auto"/>
        <w:outlineLvl w:val="9"/>
        <w:rPr>
          <w:rFonts w:hint="eastAsia" w:ascii="仿宋" w:hAnsi="仿宋" w:eastAsia="仿宋" w:cs="仿宋"/>
          <w:b/>
          <w:bCs w:val="0"/>
          <w:sz w:val="24"/>
          <w:szCs w:val="24"/>
          <w:lang w:val="en-US" w:eastAsia="zh-CN"/>
        </w:rPr>
      </w:pPr>
      <w:bookmarkStart w:id="5" w:name="_Toc6310"/>
      <w:r>
        <w:rPr>
          <w:rFonts w:hint="eastAsia" w:ascii="仿宋" w:hAnsi="仿宋" w:eastAsia="仿宋" w:cs="仿宋"/>
          <w:b/>
          <w:bCs w:val="0"/>
          <w:sz w:val="24"/>
          <w:szCs w:val="24"/>
          <w:lang w:val="en-US" w:eastAsia="zh-CN"/>
        </w:rPr>
        <w:t>3.1坚持立足行业，作好“接地气”文章</w:t>
      </w:r>
      <w:bookmarkEnd w:id="5"/>
    </w:p>
    <w:p w14:paraId="1CD7FB13">
      <w:pPr>
        <w:keepNext w:val="0"/>
        <w:keepLines w:val="0"/>
        <w:widowControl/>
        <w:suppressLineNumbers w:val="0"/>
        <w:spacing w:line="360" w:lineRule="auto"/>
        <w:ind w:firstLine="420" w:firstLineChars="200"/>
        <w:jc w:val="left"/>
        <w:rPr>
          <w:rFonts w:hint="eastAsia" w:ascii="仿宋" w:hAnsi="仿宋" w:eastAsia="仿宋" w:cs="仿宋"/>
          <w:bCs/>
          <w:sz w:val="21"/>
          <w:szCs w:val="21"/>
          <w:lang w:val="en-US" w:eastAsia="zh-CN"/>
        </w:rPr>
      </w:pP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都有传统的行业背景，与行业产业、相关部委有着非常紧密的联系与合作，因此形成并长期坚持大协作、大联合、大攻关的优良传统，因此，“行业性”是</w:t>
      </w: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与生俱来的基因，改革发展要仰望星空，更要脚踏实地、多“接地气”。具体而言，就是要求培养的学生更加符合经济社会发展的需求；使大学更加具有服务于国家经济社会发展、地方行业产业发展的能力。</w:t>
      </w:r>
    </w:p>
    <w:p w14:paraId="3B9229B5">
      <w:pPr>
        <w:pStyle w:val="6"/>
        <w:spacing w:line="360" w:lineRule="auto"/>
        <w:outlineLvl w:val="9"/>
        <w:rPr>
          <w:rFonts w:hint="eastAsia" w:ascii="仿宋" w:hAnsi="仿宋" w:eastAsia="仿宋" w:cs="仿宋"/>
          <w:b/>
          <w:bCs w:val="0"/>
          <w:sz w:val="24"/>
          <w:szCs w:val="24"/>
          <w:lang w:val="en-US" w:eastAsia="zh-CN"/>
        </w:rPr>
      </w:pPr>
      <w:bookmarkStart w:id="6" w:name="_Toc8031"/>
      <w:r>
        <w:rPr>
          <w:rFonts w:hint="eastAsia" w:ascii="仿宋" w:hAnsi="仿宋" w:eastAsia="仿宋" w:cs="仿宋"/>
          <w:b/>
          <w:bCs w:val="0"/>
          <w:sz w:val="24"/>
          <w:szCs w:val="24"/>
          <w:lang w:val="en-US" w:eastAsia="zh-CN"/>
        </w:rPr>
        <w:t>3.2坚持有为有不为，互利共赢良性互动</w:t>
      </w:r>
      <w:bookmarkEnd w:id="6"/>
    </w:p>
    <w:p w14:paraId="3EAC2B5E">
      <w:pPr>
        <w:pStyle w:val="21"/>
        <w:spacing w:before="14" w:line="360" w:lineRule="auto"/>
        <w:ind w:left="20" w:right="20" w:firstLine="419"/>
        <w:rPr>
          <w:rFonts w:hint="eastAsia" w:ascii="仿宋" w:hAnsi="仿宋" w:eastAsia="仿宋" w:cs="仿宋"/>
          <w:sz w:val="21"/>
          <w:szCs w:val="21"/>
        </w:rPr>
      </w:pPr>
      <w:r>
        <w:rPr>
          <w:rFonts w:hint="eastAsia" w:ascii="仿宋" w:hAnsi="仿宋" w:eastAsia="仿宋" w:cs="仿宋"/>
          <w:bCs/>
          <w:sz w:val="21"/>
          <w:szCs w:val="21"/>
          <w:lang w:val="en-US" w:eastAsia="zh-CN"/>
        </w:rPr>
        <w:t>“不为”是为了“有为”，只不过是要有所选择而为。通过学科建设体系与创新服务体系的融合，进一步把优势变成强势，把特色转化为优势，</w:t>
      </w: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坚持把服务三大国家战略规划作为首要目标，建立与经济社会发展基本相适应的学科专业体系，把提升学科水平放到服务发展的大局和进程中去考量，为中原崛起河南振兴提供有力的人才保障、科技支撑和智力支持。</w:t>
      </w:r>
    </w:p>
    <w:p w14:paraId="78659B0C">
      <w:pPr>
        <w:pStyle w:val="6"/>
        <w:spacing w:line="360" w:lineRule="auto"/>
        <w:outlineLvl w:val="9"/>
        <w:rPr>
          <w:rFonts w:hint="eastAsia" w:ascii="仿宋" w:hAnsi="仿宋" w:eastAsia="仿宋" w:cs="仿宋"/>
          <w:b/>
          <w:bCs w:val="0"/>
          <w:sz w:val="24"/>
          <w:szCs w:val="24"/>
          <w:lang w:val="en-US" w:eastAsia="zh-CN"/>
        </w:rPr>
      </w:pPr>
      <w:bookmarkStart w:id="7" w:name="_Toc171"/>
      <w:r>
        <w:rPr>
          <w:rFonts w:hint="eastAsia" w:ascii="仿宋" w:hAnsi="仿宋" w:eastAsia="仿宋" w:cs="仿宋"/>
          <w:b/>
          <w:bCs w:val="0"/>
          <w:sz w:val="24"/>
          <w:szCs w:val="24"/>
          <w:lang w:val="en-US" w:eastAsia="zh-CN"/>
        </w:rPr>
        <w:t>3.3坚持资源共享，克服资源瓶颈制约</w:t>
      </w:r>
      <w:bookmarkEnd w:id="7"/>
    </w:p>
    <w:p w14:paraId="5B743C41">
      <w:pPr>
        <w:pStyle w:val="21"/>
        <w:spacing w:before="17" w:line="360" w:lineRule="auto"/>
        <w:ind w:left="20" w:right="20" w:firstLine="42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通过政产学研用的深度融合，拓展了</w:t>
      </w:r>
      <w:r>
        <w:rPr>
          <w:rFonts w:hint="eastAsia" w:ascii="仿宋" w:hAnsi="仿宋" w:eastAsia="仿宋" w:cs="仿宋"/>
          <w:bCs/>
          <w:sz w:val="21"/>
          <w:szCs w:val="21"/>
        </w:rPr>
        <w:t>特色骨干大学</w:t>
      </w:r>
      <w:r>
        <w:rPr>
          <w:rFonts w:hint="eastAsia" w:ascii="仿宋" w:hAnsi="仿宋" w:eastAsia="仿宋" w:cs="仿宋"/>
          <w:bCs/>
          <w:sz w:val="21"/>
          <w:szCs w:val="21"/>
          <w:lang w:val="en-US" w:eastAsia="zh-CN"/>
        </w:rPr>
        <w:t>的教育领域和发展空间，克服了校内各种资源不足的瓶颈制约：促进了教师队伍向生产一线的管理和技术人才延伸，一大批富有经验的企业家和技术人员被充实到教师队伍，强化了理论教学与实践教学的融合；促进了实践教学平台向行业企业延伸，建立了一大批相对稳定的校外实习实训基地，强化了应用复合型人才的培养；促进了科研平台向社会延伸，各种科研实验基地遍及各地，提高了科研创新能力和解决生产实际问题的能力。</w:t>
      </w:r>
    </w:p>
    <w:p w14:paraId="758D6D16">
      <w:pPr>
        <w:pStyle w:val="6"/>
        <w:spacing w:line="360" w:lineRule="auto"/>
        <w:outlineLvl w:val="9"/>
        <w:rPr>
          <w:rFonts w:hint="eastAsia" w:ascii="仿宋" w:hAnsi="仿宋" w:eastAsia="仿宋" w:cs="仿宋"/>
          <w:b/>
          <w:bCs w:val="0"/>
          <w:sz w:val="24"/>
          <w:szCs w:val="24"/>
          <w:lang w:val="en-US" w:eastAsia="zh-CN"/>
        </w:rPr>
      </w:pPr>
      <w:bookmarkStart w:id="8" w:name="_Toc14287"/>
      <w:r>
        <w:rPr>
          <w:rFonts w:hint="eastAsia" w:ascii="仿宋" w:hAnsi="仿宋" w:eastAsia="仿宋" w:cs="仿宋"/>
          <w:b/>
          <w:bCs w:val="0"/>
          <w:sz w:val="24"/>
          <w:szCs w:val="24"/>
          <w:lang w:val="en-US" w:eastAsia="zh-CN"/>
        </w:rPr>
        <w:t>3.4坚持创新发展，“五链同构”多元育人</w:t>
      </w:r>
      <w:bookmarkEnd w:id="8"/>
    </w:p>
    <w:p w14:paraId="148413C0">
      <w:pPr>
        <w:pStyle w:val="6"/>
        <w:spacing w:line="360" w:lineRule="auto"/>
        <w:ind w:firstLine="420" w:firstLineChars="200"/>
        <w:rPr>
          <w:rFonts w:hint="eastAsia" w:ascii="仿宋" w:hAnsi="仿宋" w:eastAsia="仿宋" w:cs="仿宋"/>
          <w:bCs/>
          <w:sz w:val="21"/>
          <w:szCs w:val="21"/>
          <w:lang w:val="en-US" w:eastAsia="zh-CN"/>
        </w:rPr>
      </w:pPr>
      <w:r>
        <w:rPr>
          <w:rFonts w:hint="eastAsia" w:ascii="仿宋" w:hAnsi="仿宋" w:eastAsia="仿宋" w:cs="仿宋"/>
          <w:bCs/>
          <w:sz w:val="21"/>
          <w:szCs w:val="21"/>
          <w:lang w:val="en-US" w:eastAsia="zh-CN"/>
        </w:rPr>
        <w:t>河南农业大学创新办学模式，对接产业需求，推进校企育人要素和创新资源共享、互动，与牧原集团共建农大牧原畜牧联合产业研究院，与华为技术有限公司等共建10个现代产业学院，与郑州宇通集团有限公司等共建6个特色行业学院，与茅台、双汇、三全、思念、锅圈等近百家知名公司开展全方位校企合作，以产教融合推动学科链、人才链与创新链、产业链、资金链多链同构。</w:t>
      </w:r>
    </w:p>
    <w:p w14:paraId="3F6E2ADD">
      <w:pPr>
        <w:pStyle w:val="6"/>
        <w:spacing w:line="360" w:lineRule="auto"/>
        <w:outlineLvl w:val="9"/>
        <w:rPr>
          <w:rFonts w:hint="eastAsia" w:ascii="仿宋" w:hAnsi="仿宋" w:eastAsia="仿宋" w:cs="仿宋"/>
          <w:bCs/>
          <w:sz w:val="28"/>
          <w:szCs w:val="28"/>
          <w:lang w:val="en-US" w:eastAsia="zh-CN"/>
        </w:rPr>
      </w:pPr>
      <w:bookmarkStart w:id="9" w:name="_Toc3836"/>
      <w:r>
        <w:rPr>
          <w:rFonts w:hint="eastAsia" w:ascii="仿宋" w:hAnsi="仿宋" w:eastAsia="仿宋" w:cs="仿宋"/>
          <w:bCs/>
          <w:sz w:val="28"/>
          <w:szCs w:val="28"/>
          <w:lang w:val="en-US" w:eastAsia="zh-CN"/>
        </w:rPr>
        <w:t>4</w:t>
      </w:r>
      <w:r>
        <w:rPr>
          <w:rFonts w:hint="eastAsia" w:ascii="仿宋" w:hAnsi="仿宋" w:eastAsia="仿宋" w:cs="仿宋"/>
          <w:bCs/>
          <w:sz w:val="28"/>
          <w:szCs w:val="28"/>
        </w:rPr>
        <w:t>.区域特色骨干大学产教融合的</w:t>
      </w:r>
      <w:r>
        <w:rPr>
          <w:rFonts w:hint="eastAsia" w:ascii="仿宋" w:hAnsi="仿宋" w:eastAsia="仿宋" w:cs="仿宋"/>
          <w:bCs/>
          <w:sz w:val="28"/>
          <w:szCs w:val="28"/>
          <w:lang w:val="en-US" w:eastAsia="zh-CN"/>
        </w:rPr>
        <w:t>机制</w:t>
      </w:r>
      <w:bookmarkEnd w:id="9"/>
    </w:p>
    <w:p w14:paraId="40BE0B9D">
      <w:pPr>
        <w:pStyle w:val="6"/>
        <w:spacing w:line="360" w:lineRule="auto"/>
        <w:outlineLvl w:val="9"/>
        <w:rPr>
          <w:rFonts w:hint="eastAsia" w:ascii="仿宋" w:hAnsi="仿宋" w:eastAsia="仿宋" w:cs="仿宋"/>
          <w:b/>
          <w:bCs w:val="0"/>
          <w:sz w:val="24"/>
          <w:szCs w:val="24"/>
          <w:lang w:val="zh-CN" w:eastAsia="zh-CN"/>
        </w:rPr>
      </w:pPr>
      <w:bookmarkStart w:id="10" w:name="_Toc1371"/>
      <w:bookmarkEnd w:id="10"/>
      <w:bookmarkStart w:id="11" w:name="_Toc10906"/>
      <w:bookmarkStart w:id="12" w:name="_Toc19790"/>
      <w:bookmarkStart w:id="13" w:name="_Toc494436309"/>
      <w:bookmarkStart w:id="14" w:name="_Toc496119770"/>
      <w:r>
        <w:rPr>
          <w:rFonts w:hint="eastAsia" w:ascii="仿宋" w:hAnsi="仿宋" w:eastAsia="仿宋" w:cs="仿宋"/>
          <w:b/>
          <w:bCs w:val="0"/>
          <w:sz w:val="24"/>
          <w:szCs w:val="24"/>
          <w:lang w:val="en-US" w:eastAsia="zh-CN"/>
        </w:rPr>
        <w:t>4</w:t>
      </w:r>
      <w:r>
        <w:rPr>
          <w:rFonts w:hint="eastAsia" w:ascii="仿宋" w:hAnsi="仿宋" w:eastAsia="仿宋" w:cs="仿宋"/>
          <w:b/>
          <w:bCs w:val="0"/>
          <w:sz w:val="24"/>
          <w:szCs w:val="24"/>
          <w:lang w:val="zh-CN" w:eastAsia="zh-CN"/>
        </w:rPr>
        <w:t xml:space="preserve">.1 </w:t>
      </w:r>
      <w:r>
        <w:rPr>
          <w:rFonts w:hint="eastAsia" w:ascii="仿宋" w:hAnsi="仿宋" w:eastAsia="仿宋" w:cs="仿宋"/>
          <w:b/>
          <w:bCs w:val="0"/>
          <w:sz w:val="24"/>
          <w:szCs w:val="24"/>
          <w:lang w:val="en-US" w:eastAsia="zh-CN"/>
        </w:rPr>
        <w:t>产教融合</w:t>
      </w:r>
      <w:r>
        <w:rPr>
          <w:rFonts w:hint="eastAsia" w:ascii="仿宋" w:hAnsi="仿宋" w:eastAsia="仿宋" w:cs="仿宋"/>
          <w:b/>
          <w:bCs w:val="0"/>
          <w:sz w:val="24"/>
          <w:szCs w:val="24"/>
          <w:lang w:val="zh-CN" w:eastAsia="zh-CN"/>
        </w:rPr>
        <w:t>动力机制</w:t>
      </w:r>
      <w:bookmarkEnd w:id="11"/>
      <w:bookmarkEnd w:id="12"/>
      <w:bookmarkEnd w:id="13"/>
      <w:bookmarkEnd w:id="14"/>
    </w:p>
    <w:p w14:paraId="498AE2C3">
      <w:pPr>
        <w:spacing w:line="360" w:lineRule="auto"/>
        <w:outlineLvl w:val="9"/>
        <w:rPr>
          <w:rFonts w:hint="eastAsia" w:ascii="仿宋" w:hAnsi="仿宋" w:eastAsia="仿宋" w:cs="仿宋"/>
          <w:b/>
          <w:bCs w:val="0"/>
          <w:kern w:val="2"/>
          <w:sz w:val="21"/>
          <w:szCs w:val="21"/>
          <w:lang w:val="zh-CN" w:eastAsia="zh-CN" w:bidi="ar-SA"/>
        </w:rPr>
      </w:pPr>
      <w:bookmarkStart w:id="15" w:name="_Toc22422"/>
      <w:bookmarkEnd w:id="15"/>
      <w:bookmarkStart w:id="16" w:name="_Toc28545"/>
      <w:bookmarkStart w:id="17" w:name="_Toc16007"/>
      <w:bookmarkStart w:id="18" w:name="_Toc496119771"/>
      <w:bookmarkStart w:id="19" w:name="_Toc494436310"/>
      <w:r>
        <w:rPr>
          <w:rFonts w:hint="eastAsia" w:ascii="仿宋" w:hAnsi="仿宋" w:eastAsia="仿宋" w:cs="仿宋"/>
          <w:b/>
          <w:bCs w:val="0"/>
          <w:kern w:val="2"/>
          <w:sz w:val="21"/>
          <w:szCs w:val="21"/>
          <w:lang w:val="en-US" w:eastAsia="zh-CN" w:bidi="ar-SA"/>
        </w:rPr>
        <w:t>4</w:t>
      </w:r>
      <w:r>
        <w:rPr>
          <w:rFonts w:hint="eastAsia" w:ascii="仿宋" w:hAnsi="仿宋" w:eastAsia="仿宋" w:cs="仿宋"/>
          <w:b/>
          <w:bCs w:val="0"/>
          <w:kern w:val="2"/>
          <w:sz w:val="21"/>
          <w:szCs w:val="21"/>
          <w:lang w:val="zh-CN" w:eastAsia="zh-CN" w:bidi="ar-SA"/>
        </w:rPr>
        <w:t>.1.1 利益驱动</w:t>
      </w:r>
      <w:bookmarkEnd w:id="16"/>
      <w:bookmarkEnd w:id="17"/>
      <w:bookmarkEnd w:id="18"/>
      <w:bookmarkEnd w:id="19"/>
    </w:p>
    <w:p w14:paraId="593EEFCA">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企业可以通过横向课题、联合攻关等形式与高校开展产学研合作，高校的创新成果通过企业的试制、改进和包装，从而产业化后才能走向市场。要千方百计通过各种努力消除信息不对称过程中的彼此不信任感，要对各方的协同工作进行评估，对各方付出的价值进行权衡，找到利益分配的契合点，从而解决好协同过程中利益分配问题。对于产教融合过程的利益冲突，应当充分把握参与者的各自特性，建立各层次利益诉求渠道，积极、主动协调解决各种冲突和纠纷。</w:t>
      </w:r>
    </w:p>
    <w:p w14:paraId="7A36E099">
      <w:pPr>
        <w:spacing w:line="360" w:lineRule="auto"/>
        <w:ind w:firstLine="420" w:firstLineChars="200"/>
        <w:rPr>
          <w:rFonts w:hint="eastAsia" w:ascii="仿宋" w:hAnsi="仿宋" w:eastAsia="仿宋" w:cs="仿宋"/>
          <w:bCs/>
          <w:kern w:val="2"/>
          <w:sz w:val="21"/>
          <w:szCs w:val="21"/>
          <w:lang w:val="en-US" w:eastAsia="zh-CN" w:bidi="ar-SA"/>
        </w:rPr>
      </w:pPr>
    </w:p>
    <w:p w14:paraId="4DA2FB53">
      <w:pPr>
        <w:spacing w:line="360" w:lineRule="auto"/>
        <w:outlineLvl w:val="9"/>
        <w:rPr>
          <w:rFonts w:hint="eastAsia" w:ascii="仿宋" w:hAnsi="仿宋" w:eastAsia="仿宋" w:cs="仿宋"/>
          <w:b/>
          <w:bCs w:val="0"/>
          <w:kern w:val="2"/>
          <w:sz w:val="21"/>
          <w:szCs w:val="21"/>
          <w:lang w:val="zh-CN" w:eastAsia="zh-CN" w:bidi="ar-SA"/>
        </w:rPr>
      </w:pPr>
      <w:bookmarkStart w:id="20" w:name="_Toc1540"/>
      <w:bookmarkEnd w:id="20"/>
      <w:bookmarkStart w:id="21" w:name="_Toc421542588"/>
      <w:bookmarkEnd w:id="21"/>
      <w:bookmarkStart w:id="22" w:name="_Toc10233"/>
      <w:r>
        <w:rPr>
          <w:rFonts w:hint="eastAsia" w:ascii="仿宋" w:hAnsi="仿宋" w:eastAsia="仿宋" w:cs="仿宋"/>
          <w:b/>
          <w:bCs w:val="0"/>
          <w:kern w:val="2"/>
          <w:sz w:val="21"/>
          <w:szCs w:val="21"/>
          <w:lang w:val="en-US" w:eastAsia="zh-CN" w:bidi="ar-SA"/>
        </w:rPr>
        <w:t>4</w:t>
      </w:r>
      <w:r>
        <w:rPr>
          <w:rFonts w:hint="eastAsia" w:ascii="仿宋" w:hAnsi="仿宋" w:eastAsia="仿宋" w:cs="仿宋"/>
          <w:b/>
          <w:bCs w:val="0"/>
          <w:kern w:val="2"/>
          <w:sz w:val="21"/>
          <w:szCs w:val="21"/>
          <w:lang w:val="zh-CN" w:eastAsia="zh-CN" w:bidi="ar-SA"/>
        </w:rPr>
        <w:t>.1.</w:t>
      </w:r>
      <w:r>
        <w:rPr>
          <w:rFonts w:hint="eastAsia" w:ascii="仿宋" w:hAnsi="仿宋" w:eastAsia="仿宋" w:cs="仿宋"/>
          <w:b/>
          <w:bCs w:val="0"/>
          <w:kern w:val="2"/>
          <w:sz w:val="21"/>
          <w:szCs w:val="21"/>
          <w:lang w:val="en-US" w:eastAsia="zh-CN" w:bidi="ar-SA"/>
        </w:rPr>
        <w:t>2</w:t>
      </w:r>
      <w:r>
        <w:rPr>
          <w:rFonts w:hint="eastAsia" w:ascii="仿宋" w:hAnsi="仿宋" w:eastAsia="仿宋" w:cs="仿宋"/>
          <w:b/>
          <w:bCs w:val="0"/>
          <w:kern w:val="2"/>
          <w:sz w:val="21"/>
          <w:szCs w:val="21"/>
          <w:lang w:val="zh-CN" w:eastAsia="zh-CN" w:bidi="ar-SA"/>
        </w:rPr>
        <w:t xml:space="preserve"> </w:t>
      </w:r>
      <w:bookmarkEnd w:id="22"/>
      <w:bookmarkStart w:id="23" w:name="_Toc494436312"/>
      <w:bookmarkStart w:id="24" w:name="_Toc496119773"/>
      <w:bookmarkStart w:id="25" w:name="_Toc15801"/>
      <w:bookmarkStart w:id="26" w:name="_Toc24463"/>
      <w:r>
        <w:rPr>
          <w:rFonts w:hint="eastAsia" w:ascii="仿宋" w:hAnsi="仿宋" w:eastAsia="仿宋" w:cs="仿宋"/>
          <w:b/>
          <w:bCs w:val="0"/>
          <w:kern w:val="2"/>
          <w:sz w:val="21"/>
          <w:szCs w:val="21"/>
          <w:lang w:val="zh-CN" w:eastAsia="zh-CN" w:bidi="ar-SA"/>
        </w:rPr>
        <w:t>市场驱动</w:t>
      </w:r>
      <w:bookmarkEnd w:id="23"/>
      <w:bookmarkEnd w:id="24"/>
      <w:bookmarkEnd w:id="25"/>
      <w:bookmarkEnd w:id="26"/>
    </w:p>
    <w:p w14:paraId="6AE5B027">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产教融合的市场驱动就是要发现、适应并重视与满足社会经济发展的需求。企业活跃于市场前沿，作为市场中的主体，是科研成果的检验者和推广者。市场的需求把高校与企业紧密联系起来，形成了资源共享、共同开发等全方位合作，成为高校产教融合的主要动力之一。</w:t>
      </w:r>
      <w:bookmarkStart w:id="27" w:name="_Toc421542590"/>
      <w:bookmarkEnd w:id="27"/>
      <w:r>
        <w:rPr>
          <w:rFonts w:hint="eastAsia" w:ascii="仿宋" w:hAnsi="仿宋" w:eastAsia="仿宋" w:cs="仿宋"/>
          <w:bCs/>
          <w:kern w:val="2"/>
          <w:sz w:val="21"/>
          <w:szCs w:val="21"/>
          <w:lang w:val="en-US" w:eastAsia="zh-CN" w:bidi="ar-SA"/>
        </w:rPr>
        <w:t>高校产教融合活动开展的关键在于注重市场机制作用的发挥，以市场运作共同推动高校产教融合发展，充分发挥市场在资源配置中的重要作用。这就要求高校产教融合合作也必须走向市场，以市场发展需求为导向，在市场发展中寻求合作伙伴，主动投身于市场发展潮流当中，获得并科学配置相关的要素和资源，辅之以管理方式创新，以达到产教融合的目的。</w:t>
      </w:r>
      <w:bookmarkStart w:id="28" w:name="_Toc19944"/>
      <w:bookmarkEnd w:id="28"/>
      <w:bookmarkStart w:id="29" w:name="_Toc23609"/>
    </w:p>
    <w:bookmarkEnd w:id="29"/>
    <w:p w14:paraId="4FD6AB08">
      <w:pPr>
        <w:pStyle w:val="6"/>
        <w:spacing w:line="360" w:lineRule="auto"/>
        <w:outlineLvl w:val="9"/>
        <w:rPr>
          <w:rFonts w:hint="eastAsia" w:ascii="仿宋" w:hAnsi="仿宋" w:eastAsia="仿宋" w:cs="仿宋"/>
          <w:b/>
          <w:bCs w:val="0"/>
          <w:sz w:val="24"/>
          <w:szCs w:val="24"/>
          <w:lang w:val="zh-CN" w:eastAsia="zh-CN"/>
        </w:rPr>
      </w:pPr>
      <w:bookmarkStart w:id="30" w:name="_Toc6943"/>
      <w:bookmarkEnd w:id="30"/>
      <w:bookmarkStart w:id="31" w:name="_Toc496119775"/>
      <w:bookmarkStart w:id="32" w:name="_Toc15977"/>
      <w:bookmarkStart w:id="33" w:name="_Toc494436314"/>
      <w:bookmarkStart w:id="34" w:name="_Toc241"/>
      <w:r>
        <w:rPr>
          <w:rFonts w:hint="eastAsia" w:ascii="仿宋" w:hAnsi="仿宋" w:eastAsia="仿宋" w:cs="仿宋"/>
          <w:b/>
          <w:bCs w:val="0"/>
          <w:sz w:val="24"/>
          <w:szCs w:val="24"/>
          <w:lang w:val="en-US" w:eastAsia="zh-CN"/>
        </w:rPr>
        <w:t>4</w:t>
      </w:r>
      <w:r>
        <w:rPr>
          <w:rFonts w:hint="eastAsia" w:ascii="仿宋" w:hAnsi="仿宋" w:eastAsia="仿宋" w:cs="仿宋"/>
          <w:b/>
          <w:bCs w:val="0"/>
          <w:sz w:val="24"/>
          <w:szCs w:val="24"/>
          <w:lang w:val="zh-CN" w:eastAsia="zh-CN"/>
        </w:rPr>
        <w:t xml:space="preserve">.2 </w:t>
      </w:r>
      <w:bookmarkEnd w:id="31"/>
      <w:bookmarkEnd w:id="32"/>
      <w:bookmarkEnd w:id="33"/>
      <w:bookmarkStart w:id="35" w:name="_Toc5171"/>
      <w:bookmarkEnd w:id="35"/>
      <w:bookmarkStart w:id="36" w:name="_Toc10519"/>
      <w:bookmarkEnd w:id="36"/>
      <w:bookmarkStart w:id="37" w:name="_Toc494436319"/>
      <w:bookmarkStart w:id="38" w:name="_Toc496119779"/>
      <w:r>
        <w:rPr>
          <w:rFonts w:hint="eastAsia" w:ascii="仿宋" w:hAnsi="仿宋" w:eastAsia="仿宋" w:cs="仿宋"/>
          <w:b/>
          <w:bCs w:val="0"/>
          <w:sz w:val="24"/>
          <w:szCs w:val="24"/>
          <w:lang w:val="en-US" w:eastAsia="zh-CN"/>
        </w:rPr>
        <w:t>产教融合沟通</w:t>
      </w:r>
      <w:r>
        <w:rPr>
          <w:rFonts w:hint="eastAsia" w:ascii="仿宋" w:hAnsi="仿宋" w:eastAsia="仿宋" w:cs="仿宋"/>
          <w:b/>
          <w:bCs w:val="0"/>
          <w:sz w:val="24"/>
          <w:szCs w:val="24"/>
          <w:lang w:val="zh-CN" w:eastAsia="zh-CN"/>
        </w:rPr>
        <w:t>协调机制</w:t>
      </w:r>
      <w:bookmarkEnd w:id="34"/>
      <w:bookmarkEnd w:id="37"/>
      <w:bookmarkEnd w:id="38"/>
    </w:p>
    <w:p w14:paraId="1EBD4190">
      <w:pPr>
        <w:shd w:val="clear" w:color="auto" w:fill="FFFFFF"/>
        <w:spacing w:line="360" w:lineRule="auto"/>
        <w:ind w:firstLine="420"/>
        <w:rPr>
          <w:rFonts w:hint="eastAsia" w:ascii="仿宋" w:hAnsi="仿宋" w:eastAsia="仿宋" w:cs="仿宋"/>
          <w:bCs/>
          <w:kern w:val="2"/>
          <w:sz w:val="21"/>
          <w:szCs w:val="21"/>
          <w:lang w:val="en-US" w:eastAsia="zh-CN" w:bidi="ar-SA"/>
        </w:rPr>
      </w:pPr>
      <w:bookmarkStart w:id="39" w:name="_Toc3371"/>
      <w:bookmarkEnd w:id="39"/>
      <w:r>
        <w:rPr>
          <w:rFonts w:hint="eastAsia" w:ascii="仿宋" w:hAnsi="仿宋" w:eastAsia="仿宋" w:cs="仿宋"/>
          <w:bCs/>
          <w:kern w:val="2"/>
          <w:sz w:val="21"/>
          <w:szCs w:val="21"/>
          <w:lang w:val="en-US" w:eastAsia="zh-CN" w:bidi="ar-SA"/>
        </w:rPr>
        <w:t>要健全沟通渠道，完善沟通制度。没有调查就没有发言权。学校管理层如科技处、社会服务处要通过调研，认真聆听企业、学院和相关业务处室师生不同意见和建议。要建立网格化的产教融合共享和信息交流平台，根据不同产教融合平台及其学科的特点，将创新资源划分成若干个网格，利用现代信息技术和各网格单元间的协调机制，使各个网格单元之间能高效地进行信息交流和共享产教融合组织的资源，打破“学科墙”“学院墙”“部门墙”“学校墙”的空间、地理和心理屏障。</w:t>
      </w:r>
    </w:p>
    <w:p w14:paraId="470E1E44">
      <w:pPr>
        <w:pStyle w:val="6"/>
        <w:spacing w:line="360" w:lineRule="auto"/>
        <w:outlineLvl w:val="9"/>
        <w:rPr>
          <w:rFonts w:hint="eastAsia" w:ascii="仿宋" w:hAnsi="仿宋" w:eastAsia="仿宋" w:cs="仿宋"/>
          <w:b/>
          <w:bCs w:val="0"/>
          <w:sz w:val="24"/>
          <w:szCs w:val="24"/>
          <w:lang w:val="zh-CN" w:eastAsia="zh-CN"/>
        </w:rPr>
      </w:pPr>
      <w:bookmarkStart w:id="40" w:name="_Toc2775"/>
      <w:bookmarkStart w:id="41" w:name="_Toc9834"/>
      <w:bookmarkStart w:id="42" w:name="_Toc496119782"/>
      <w:bookmarkStart w:id="43" w:name="_Toc494436331"/>
      <w:r>
        <w:rPr>
          <w:rFonts w:hint="eastAsia" w:ascii="仿宋" w:hAnsi="仿宋" w:eastAsia="仿宋" w:cs="仿宋"/>
          <w:b/>
          <w:bCs w:val="0"/>
          <w:sz w:val="24"/>
          <w:szCs w:val="24"/>
          <w:lang w:val="en-US" w:eastAsia="zh-CN"/>
        </w:rPr>
        <w:t>4.3</w:t>
      </w:r>
      <w:r>
        <w:rPr>
          <w:rFonts w:hint="eastAsia" w:ascii="仿宋" w:hAnsi="仿宋" w:eastAsia="仿宋" w:cs="仿宋"/>
          <w:b/>
          <w:bCs w:val="0"/>
          <w:sz w:val="24"/>
          <w:szCs w:val="24"/>
          <w:lang w:val="zh-CN" w:eastAsia="zh-CN"/>
        </w:rPr>
        <w:t xml:space="preserve"> </w:t>
      </w:r>
      <w:r>
        <w:rPr>
          <w:rFonts w:hint="eastAsia" w:ascii="仿宋" w:hAnsi="仿宋" w:eastAsia="仿宋" w:cs="仿宋"/>
          <w:b/>
          <w:bCs w:val="0"/>
          <w:sz w:val="24"/>
          <w:szCs w:val="24"/>
          <w:lang w:val="en-US" w:eastAsia="zh-CN"/>
        </w:rPr>
        <w:t>产教融合</w:t>
      </w:r>
      <w:r>
        <w:rPr>
          <w:rFonts w:hint="eastAsia" w:ascii="仿宋" w:hAnsi="仿宋" w:eastAsia="仿宋" w:cs="仿宋"/>
          <w:b/>
          <w:bCs w:val="0"/>
          <w:sz w:val="24"/>
          <w:szCs w:val="24"/>
          <w:lang w:val="zh-CN" w:eastAsia="zh-CN"/>
        </w:rPr>
        <w:t>评价机制</w:t>
      </w:r>
      <w:bookmarkEnd w:id="40"/>
      <w:bookmarkEnd w:id="41"/>
      <w:bookmarkEnd w:id="42"/>
      <w:bookmarkEnd w:id="43"/>
    </w:p>
    <w:p w14:paraId="2F340ACF">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评价机制是检验产教融合成效的体系，主要解决“产教融合程度和效果如何”的问题。其既是对产教融合进程的检查与督促，同时也是对产教融合成果的评判。</w:t>
      </w:r>
      <w:bookmarkStart w:id="44" w:name="_Toc421542601"/>
      <w:bookmarkEnd w:id="44"/>
    </w:p>
    <w:p w14:paraId="2852862C">
      <w:pPr>
        <w:spacing w:line="360" w:lineRule="auto"/>
        <w:ind w:firstLine="420" w:firstLineChars="200"/>
        <w:rPr>
          <w:rFonts w:hint="eastAsia" w:ascii="仿宋" w:hAnsi="仿宋" w:eastAsia="仿宋" w:cs="仿宋"/>
          <w:bCs/>
          <w:kern w:val="2"/>
          <w:sz w:val="21"/>
          <w:szCs w:val="21"/>
          <w:lang w:val="en-US" w:eastAsia="zh-CN" w:bidi="ar-SA"/>
        </w:rPr>
      </w:pPr>
      <w:bookmarkStart w:id="45" w:name="_Toc18380"/>
      <w:bookmarkEnd w:id="45"/>
      <w:r>
        <w:rPr>
          <w:rFonts w:hint="eastAsia" w:ascii="仿宋" w:hAnsi="仿宋" w:eastAsia="仿宋" w:cs="仿宋"/>
          <w:bCs/>
          <w:kern w:val="2"/>
          <w:sz w:val="21"/>
          <w:szCs w:val="21"/>
          <w:lang w:val="en-US" w:eastAsia="zh-CN" w:bidi="ar-SA"/>
        </w:rPr>
        <w:t>分层分类评价，以团队评价为主。根据产教融合活动的特点，首先由主要利益相关者对整体成效进行综合评价，然后按照决策机构、执行机构、平台、团队、个体的顺序逐级开展评价。鉴于团队是产教融合的基层组织，是各种任务和活动的具体承担者和组织者，应以团队评价为主要形式。同时，还应根据学科背景、职称、职务、学历等差异对团队成员分类实施评价。</w:t>
      </w:r>
    </w:p>
    <w:p w14:paraId="27006874">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定量评价与定性评价结合。定量评价主要是通过文献成果计量、投入产出效益分析等方法对评价客体进行量化判断。优点在于评价指标具体，评价结果相对客观，操作简便。但也存在以物为本，只见树木不见森林等不足。定性评价主要是采用同行评议、过程考察等方式对评价客体进行水平或价值判断。它既有综合性、全面性的优点，也有易受人为主观因素影响的缺点。</w:t>
      </w:r>
    </w:p>
    <w:p w14:paraId="6BCABDFB">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周期性评价与阶段性评价相结合。周期性评价是按照固定的时间周期对所有评价客体统一开展评价。阶段性评价则强调根据主要任务的完成情况确定评价时间。周期性评价便于考察一定时间内产教融合中心各方面工作的进展与成效，却易于导致追求短平快、急功近利的现象。阶段性评价有利于相关人员完成重大任务、解决重大需求，但也容易出现效率不高的问题。</w:t>
      </w:r>
    </w:p>
    <w:p w14:paraId="4D38A4FA">
      <w:pPr>
        <w:pStyle w:val="6"/>
        <w:spacing w:line="360" w:lineRule="auto"/>
        <w:outlineLvl w:val="9"/>
        <w:rPr>
          <w:rFonts w:hint="eastAsia" w:ascii="仿宋" w:hAnsi="仿宋" w:eastAsia="仿宋" w:cs="仿宋"/>
          <w:b/>
          <w:bCs w:val="0"/>
          <w:sz w:val="24"/>
          <w:szCs w:val="24"/>
          <w:lang w:val="zh-CN" w:eastAsia="zh-CN"/>
        </w:rPr>
      </w:pPr>
      <w:bookmarkStart w:id="46" w:name="_Toc17025"/>
      <w:bookmarkEnd w:id="46"/>
      <w:bookmarkStart w:id="47" w:name="_Toc32442"/>
      <w:bookmarkEnd w:id="47"/>
      <w:bookmarkStart w:id="48" w:name="_Toc5819"/>
      <w:bookmarkEnd w:id="48"/>
      <w:bookmarkStart w:id="49" w:name="_Toc494436322"/>
      <w:bookmarkStart w:id="50" w:name="_Toc496119787"/>
      <w:bookmarkStart w:id="51" w:name="_Toc23250"/>
      <w:bookmarkStart w:id="52" w:name="_Toc19639"/>
      <w:r>
        <w:rPr>
          <w:rFonts w:hint="eastAsia" w:ascii="仿宋" w:hAnsi="仿宋" w:eastAsia="仿宋" w:cs="仿宋"/>
          <w:b/>
          <w:bCs w:val="0"/>
          <w:sz w:val="24"/>
          <w:szCs w:val="24"/>
          <w:lang w:val="en-US" w:eastAsia="zh-CN"/>
        </w:rPr>
        <w:t>4.4</w:t>
      </w:r>
      <w:r>
        <w:rPr>
          <w:rFonts w:hint="eastAsia" w:ascii="仿宋" w:hAnsi="仿宋" w:eastAsia="仿宋" w:cs="仿宋"/>
          <w:b/>
          <w:bCs w:val="0"/>
          <w:sz w:val="24"/>
          <w:szCs w:val="24"/>
          <w:lang w:val="zh-CN" w:eastAsia="zh-CN"/>
        </w:rPr>
        <w:t xml:space="preserve"> </w:t>
      </w:r>
      <w:r>
        <w:rPr>
          <w:rFonts w:hint="eastAsia" w:ascii="仿宋" w:hAnsi="仿宋" w:eastAsia="仿宋" w:cs="仿宋"/>
          <w:b/>
          <w:bCs w:val="0"/>
          <w:sz w:val="24"/>
          <w:szCs w:val="24"/>
          <w:lang w:val="en-US" w:eastAsia="zh-CN"/>
        </w:rPr>
        <w:t>产教融合</w:t>
      </w:r>
      <w:r>
        <w:rPr>
          <w:rFonts w:hint="eastAsia" w:ascii="仿宋" w:hAnsi="仿宋" w:eastAsia="仿宋" w:cs="仿宋"/>
          <w:b/>
          <w:bCs w:val="0"/>
          <w:sz w:val="24"/>
          <w:szCs w:val="24"/>
          <w:lang w:val="zh-CN" w:eastAsia="zh-CN"/>
        </w:rPr>
        <w:t>激励机制</w:t>
      </w:r>
      <w:bookmarkEnd w:id="49"/>
      <w:bookmarkEnd w:id="50"/>
      <w:bookmarkEnd w:id="51"/>
      <w:bookmarkEnd w:id="52"/>
    </w:p>
    <w:p w14:paraId="6A107800">
      <w:pPr>
        <w:spacing w:line="360" w:lineRule="auto"/>
        <w:outlineLvl w:val="9"/>
        <w:rPr>
          <w:rFonts w:hint="eastAsia" w:ascii="仿宋" w:hAnsi="仿宋" w:eastAsia="仿宋" w:cs="仿宋"/>
          <w:b/>
          <w:bCs w:val="0"/>
          <w:kern w:val="2"/>
          <w:sz w:val="21"/>
          <w:szCs w:val="21"/>
          <w:lang w:val="zh-CN" w:eastAsia="zh-CN" w:bidi="ar-SA"/>
        </w:rPr>
      </w:pPr>
      <w:bookmarkStart w:id="53" w:name="_Toc12939"/>
      <w:bookmarkEnd w:id="53"/>
      <w:bookmarkStart w:id="54" w:name="_Toc1097"/>
      <w:bookmarkStart w:id="55" w:name="_Toc9188"/>
      <w:bookmarkStart w:id="56" w:name="_Toc494436323"/>
      <w:bookmarkStart w:id="57" w:name="_Toc496119788"/>
      <w:r>
        <w:rPr>
          <w:rFonts w:hint="eastAsia" w:ascii="仿宋" w:hAnsi="仿宋" w:eastAsia="仿宋" w:cs="仿宋"/>
          <w:b/>
          <w:bCs w:val="0"/>
          <w:kern w:val="2"/>
          <w:sz w:val="21"/>
          <w:szCs w:val="21"/>
          <w:lang w:val="en-US" w:eastAsia="zh-CN" w:bidi="ar-SA"/>
        </w:rPr>
        <w:t>4.4</w:t>
      </w:r>
      <w:r>
        <w:rPr>
          <w:rFonts w:hint="eastAsia" w:ascii="仿宋" w:hAnsi="仿宋" w:eastAsia="仿宋" w:cs="仿宋"/>
          <w:b/>
          <w:bCs w:val="0"/>
          <w:kern w:val="2"/>
          <w:sz w:val="21"/>
          <w:szCs w:val="21"/>
          <w:lang w:val="zh-CN" w:eastAsia="zh-CN" w:bidi="ar-SA"/>
        </w:rPr>
        <w:t>.1 报酬激励</w:t>
      </w:r>
      <w:bookmarkEnd w:id="54"/>
      <w:bookmarkEnd w:id="55"/>
      <w:bookmarkEnd w:id="56"/>
      <w:bookmarkEnd w:id="57"/>
    </w:p>
    <w:p w14:paraId="529265A4">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报酬激励是指根据创新活动的</w:t>
      </w:r>
      <w:r>
        <w:rPr>
          <w:rFonts w:hint="eastAsia" w:ascii="仿宋" w:hAnsi="仿宋" w:eastAsia="仿宋" w:cs="仿宋"/>
          <w:bCs/>
          <w:kern w:val="2"/>
          <w:sz w:val="21"/>
          <w:szCs w:val="21"/>
          <w:lang w:val="en-US" w:eastAsia="zh-CN" w:bidi="ar-SA"/>
        </w:rPr>
        <w:fldChar w:fldCharType="begin"/>
      </w:r>
      <w:r>
        <w:rPr>
          <w:rFonts w:hint="eastAsia" w:ascii="仿宋" w:hAnsi="仿宋" w:eastAsia="仿宋" w:cs="仿宋"/>
          <w:bCs/>
          <w:kern w:val="2"/>
          <w:sz w:val="21"/>
          <w:szCs w:val="21"/>
          <w:lang w:val="en-US" w:eastAsia="zh-CN" w:bidi="ar-SA"/>
        </w:rPr>
        <w:instrText xml:space="preserve"> HYPERLINK "https://baike.baidu.com/item/%E7%BB%A9%E6%95%88%E8%AF%84%E4%BB%B7/4152532" \t "https://baike.baidu.com/item/%E6%BF%80%E5%8A%B1%E8%96%AA%E9%85%AC/_blank" </w:instrText>
      </w:r>
      <w:r>
        <w:rPr>
          <w:rFonts w:hint="eastAsia" w:ascii="仿宋" w:hAnsi="仿宋" w:eastAsia="仿宋" w:cs="仿宋"/>
          <w:bCs/>
          <w:kern w:val="2"/>
          <w:sz w:val="21"/>
          <w:szCs w:val="21"/>
          <w:lang w:val="en-US" w:eastAsia="zh-CN" w:bidi="ar-SA"/>
        </w:rPr>
        <w:fldChar w:fldCharType="separate"/>
      </w:r>
      <w:r>
        <w:rPr>
          <w:rFonts w:hint="eastAsia" w:ascii="仿宋" w:hAnsi="仿宋" w:eastAsia="仿宋" w:cs="仿宋"/>
          <w:bCs/>
          <w:kern w:val="2"/>
          <w:sz w:val="21"/>
          <w:szCs w:val="21"/>
          <w:lang w:val="en-US" w:eastAsia="zh-CN" w:bidi="ar-SA"/>
        </w:rPr>
        <w:t>绩效评价</w:t>
      </w:r>
      <w:r>
        <w:rPr>
          <w:rFonts w:hint="eastAsia" w:ascii="仿宋" w:hAnsi="仿宋" w:eastAsia="仿宋" w:cs="仿宋"/>
          <w:bCs/>
          <w:kern w:val="2"/>
          <w:sz w:val="21"/>
          <w:szCs w:val="21"/>
          <w:lang w:val="en-US" w:eastAsia="zh-CN" w:bidi="ar-SA"/>
        </w:rPr>
        <w:fldChar w:fldCharType="end"/>
      </w:r>
      <w:r>
        <w:rPr>
          <w:rFonts w:hint="eastAsia" w:ascii="仿宋" w:hAnsi="仿宋" w:eastAsia="仿宋" w:cs="仿宋"/>
          <w:bCs/>
          <w:kern w:val="2"/>
          <w:sz w:val="21"/>
          <w:szCs w:val="21"/>
          <w:lang w:val="en-US" w:eastAsia="zh-CN" w:bidi="ar-SA"/>
        </w:rPr>
        <w:t>结果给予参与者相应报酬的激励形式，其实质就是利益分配。这里的利益不仅指经济利益，还包括名誉、声望等无法用货币度量的无形利益。因此，要以科学合理的利益分配方式汇聚各方力量，解决“不愿融合”的问题，最大限度的把各参与主体及个体的积极性和主动性调动起来。在分配中要坚持平等公平、多贡献多分配、利益与风险相一致的原则，采取灵活的分配激励方式。产教融合使企业在产教融合中获得先进技术，并使之转化为具有市场竞争力的产品从而获利，高校在产教融合中获得前沿知识、资金支持并汇聚大量人才，这样各取所需，协同合作，达到共赢结果，获得源源不断驱动力。</w:t>
      </w:r>
      <w:bookmarkStart w:id="58" w:name="_Toc421542593"/>
      <w:bookmarkEnd w:id="58"/>
    </w:p>
    <w:p w14:paraId="066808CD">
      <w:pPr>
        <w:spacing w:line="360" w:lineRule="auto"/>
        <w:outlineLvl w:val="9"/>
        <w:rPr>
          <w:rFonts w:hint="eastAsia" w:ascii="仿宋" w:hAnsi="仿宋" w:eastAsia="仿宋" w:cs="仿宋"/>
          <w:b/>
          <w:bCs w:val="0"/>
          <w:kern w:val="2"/>
          <w:sz w:val="21"/>
          <w:szCs w:val="21"/>
          <w:lang w:val="zh-CN" w:eastAsia="zh-CN" w:bidi="ar-SA"/>
        </w:rPr>
      </w:pPr>
      <w:bookmarkStart w:id="59" w:name="_Toc30228"/>
      <w:bookmarkEnd w:id="59"/>
      <w:bookmarkStart w:id="60" w:name="_Toc496119790"/>
      <w:bookmarkStart w:id="61" w:name="_Toc21398"/>
      <w:bookmarkStart w:id="62" w:name="_Toc494436325"/>
      <w:r>
        <w:rPr>
          <w:rFonts w:hint="eastAsia" w:ascii="仿宋" w:hAnsi="仿宋" w:eastAsia="仿宋" w:cs="仿宋"/>
          <w:b/>
          <w:bCs w:val="0"/>
          <w:kern w:val="2"/>
          <w:sz w:val="21"/>
          <w:szCs w:val="21"/>
          <w:lang w:val="en-US" w:eastAsia="zh-CN" w:bidi="ar-SA"/>
        </w:rPr>
        <w:t>4.4.2</w:t>
      </w:r>
      <w:r>
        <w:rPr>
          <w:rFonts w:hint="eastAsia" w:ascii="仿宋" w:hAnsi="仿宋" w:eastAsia="仿宋" w:cs="仿宋"/>
          <w:b/>
          <w:bCs w:val="0"/>
          <w:kern w:val="2"/>
          <w:sz w:val="21"/>
          <w:szCs w:val="21"/>
          <w:lang w:val="zh-CN" w:eastAsia="zh-CN" w:bidi="ar-SA"/>
        </w:rPr>
        <w:t>政策激励</w:t>
      </w:r>
      <w:bookmarkEnd w:id="60"/>
      <w:bookmarkEnd w:id="61"/>
      <w:bookmarkEnd w:id="62"/>
    </w:p>
    <w:p w14:paraId="2B2EC03A">
      <w:pPr>
        <w:spacing w:line="360" w:lineRule="auto"/>
        <w:ind w:firstLine="420" w:firstLineChars="200"/>
        <w:rPr>
          <w:rFonts w:hint="eastAsia" w:ascii="仿宋" w:hAnsi="仿宋" w:eastAsia="仿宋" w:cs="仿宋"/>
          <w:bCs/>
          <w:sz w:val="28"/>
          <w:szCs w:val="28"/>
        </w:rPr>
      </w:pPr>
      <w:r>
        <w:rPr>
          <w:rFonts w:hint="eastAsia" w:ascii="仿宋" w:hAnsi="仿宋" w:eastAsia="仿宋" w:cs="仿宋"/>
          <w:bCs/>
          <w:kern w:val="2"/>
          <w:sz w:val="21"/>
          <w:szCs w:val="21"/>
          <w:lang w:val="en-US" w:eastAsia="zh-CN" w:bidi="ar-SA"/>
        </w:rPr>
        <w:t>一是加大对产教融合的投入和对新兴产业的扶持力度，提高科学研究的实用性，鼓励高校与企业联合申报科技创新项目，进行重大科技成果的攻关，促进企业产业转型和升级。二是实行积极的科技财税政策，对高新技术企业减税，对高新技术产品进行奖励，鼓励企业技术创新，推动高新技术成果转化和利用，支持高校的创业产业园采取相应的优惠政策。三是采取积极的知识产权政策，知识产权可以保护知识创新的积极性，也是对知识发明人成果的一种认可。四是鼓励高校科技成果转化和孵化政策，高校的知识转化为科技生产力，才能真正发挥科技创新的作用，使高校的研究者注重生产实际，解决现实问题。五是制定灵活的人事政策，打破人事管理的条框束缚，在不影响正常教学秩序和学术自由精神的基础上，鼓励大学教师或其他科研人员根据研究需求自由流动与交流，更重要的是要保障科研人员在流动期间的职务晋升、职称评定及相应的福利待遇，以减少研究人员的后顾之忧。</w:t>
      </w:r>
      <w:bookmarkStart w:id="63" w:name="_Toc17292"/>
      <w:bookmarkEnd w:id="63"/>
    </w:p>
    <w:p w14:paraId="13CFA793">
      <w:pPr>
        <w:rPr>
          <w:rFonts w:hint="eastAsia" w:ascii="仿宋" w:hAnsi="仿宋" w:eastAsia="仿宋" w:cs="仿宋"/>
          <w:b/>
          <w:bCs/>
          <w:sz w:val="28"/>
          <w:szCs w:val="28"/>
          <w:lang w:val="en-US" w:eastAsia="zh-CN"/>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.区域特色骨干大学产教融合的</w:t>
      </w:r>
      <w:r>
        <w:rPr>
          <w:rFonts w:hint="eastAsia" w:ascii="仿宋" w:hAnsi="仿宋" w:eastAsia="仿宋" w:cs="仿宋"/>
          <w:bCs/>
          <w:sz w:val="28"/>
          <w:szCs w:val="28"/>
          <w:lang w:val="en-US" w:eastAsia="zh-CN"/>
        </w:rPr>
        <w:t>不足</w:t>
      </w:r>
    </w:p>
    <w:p w14:paraId="6FDCFABB">
      <w:pPr>
        <w:spacing w:line="360" w:lineRule="auto"/>
        <w:ind w:firstLine="420" w:firstLineChars="200"/>
        <w:rPr>
          <w:rFonts w:hint="eastAsia" w:ascii="仿宋" w:hAnsi="仿宋" w:eastAsia="仿宋" w:cs="仿宋"/>
          <w:bCs/>
          <w:kern w:val="2"/>
          <w:sz w:val="21"/>
          <w:szCs w:val="21"/>
          <w:lang w:val="en-US" w:eastAsia="zh-CN" w:bidi="ar-SA"/>
        </w:rPr>
      </w:pPr>
      <w:r>
        <w:rPr>
          <w:rFonts w:hint="eastAsia" w:ascii="仿宋" w:hAnsi="仿宋" w:eastAsia="仿宋" w:cs="仿宋"/>
          <w:bCs/>
          <w:kern w:val="2"/>
          <w:sz w:val="21"/>
          <w:szCs w:val="21"/>
          <w:lang w:val="en-US" w:eastAsia="zh-CN" w:bidi="ar-SA"/>
        </w:rPr>
        <w:t>因教育教学理论的更新速度滞后于行业产业实践的快速发展，行业产业实践与教育教学理论之间缺乏有效的沟通机制，实践中的宝贵经验难以顺畅地传递到教育教学中，而教育教学中的理论成果也未能及时在行业实践中得到应用和检验，且产教融合评价机制不完善，导致特色骨干大学产教融合过程中存在高校人才培养供给服务行业产业人才需求的供需不匹配问题、新时期行业产业实践与教育教学理论创新的协同不紧密问题、现代产教融合科教融汇校企协作育人合力不强动力不充沛等问题。</w:t>
      </w:r>
    </w:p>
    <w:p w14:paraId="3F2E865F">
      <w:pPr>
        <w:spacing w:line="360" w:lineRule="auto"/>
        <w:rPr>
          <w:rFonts w:hint="eastAsia" w:ascii="仿宋" w:hAnsi="仿宋" w:eastAsia="仿宋" w:cs="仿宋"/>
          <w:bCs/>
          <w:kern w:val="2"/>
          <w:sz w:val="21"/>
          <w:szCs w:val="21"/>
          <w:lang w:val="en-US" w:eastAsia="zh-CN" w:bidi="ar-SA"/>
        </w:rPr>
      </w:pPr>
      <w:r>
        <w:rPr>
          <w:rFonts w:hint="eastAsia" w:ascii="仿宋" w:hAnsi="仿宋" w:eastAsia="仿宋" w:cs="仿宋"/>
          <w:bCs/>
          <w:sz w:val="28"/>
          <w:szCs w:val="28"/>
          <w:lang w:val="en-US" w:eastAsia="zh-CN"/>
        </w:rPr>
        <w:t>6</w:t>
      </w:r>
      <w:r>
        <w:rPr>
          <w:rFonts w:hint="eastAsia" w:ascii="仿宋" w:hAnsi="仿宋" w:eastAsia="仿宋" w:cs="仿宋"/>
          <w:bCs/>
          <w:sz w:val="28"/>
          <w:szCs w:val="28"/>
        </w:rPr>
        <w:t>.</w:t>
      </w:r>
      <w:r>
        <w:rPr>
          <w:rFonts w:hint="eastAsia" w:ascii="仿宋" w:hAnsi="仿宋" w:eastAsia="仿宋" w:cs="仿宋"/>
          <w:bCs/>
          <w:sz w:val="28"/>
          <w:szCs w:val="28"/>
          <w:lang w:val="en-US" w:eastAsia="zh-CN"/>
        </w:rPr>
        <w:t>推动</w:t>
      </w:r>
      <w:r>
        <w:rPr>
          <w:rFonts w:hint="eastAsia" w:ascii="仿宋" w:hAnsi="仿宋" w:eastAsia="仿宋" w:cs="仿宋"/>
          <w:bCs/>
          <w:sz w:val="28"/>
          <w:szCs w:val="28"/>
        </w:rPr>
        <w:t>区域特色骨干大学产教</w:t>
      </w:r>
      <w:r>
        <w:rPr>
          <w:rFonts w:hint="eastAsia" w:ascii="仿宋" w:hAnsi="仿宋" w:eastAsia="仿宋" w:cs="仿宋"/>
          <w:bCs/>
          <w:sz w:val="28"/>
          <w:szCs w:val="28"/>
          <w:lang w:val="en-US" w:eastAsia="zh-CN"/>
        </w:rPr>
        <w:t>深度</w:t>
      </w:r>
      <w:r>
        <w:rPr>
          <w:rFonts w:hint="eastAsia" w:ascii="仿宋" w:hAnsi="仿宋" w:eastAsia="仿宋" w:cs="仿宋"/>
          <w:bCs/>
          <w:sz w:val="28"/>
          <w:szCs w:val="28"/>
        </w:rPr>
        <w:t>融合</w:t>
      </w:r>
      <w:r>
        <w:rPr>
          <w:rFonts w:hint="eastAsia" w:ascii="仿宋" w:hAnsi="仿宋" w:eastAsia="仿宋" w:cs="仿宋"/>
          <w:bCs/>
          <w:sz w:val="28"/>
          <w:szCs w:val="28"/>
          <w:lang w:eastAsia="zh-CN"/>
        </w:rPr>
        <w:t>的</w:t>
      </w:r>
      <w:r>
        <w:rPr>
          <w:rFonts w:hint="eastAsia" w:ascii="仿宋" w:hAnsi="仿宋" w:eastAsia="仿宋" w:cs="仿宋"/>
          <w:bCs/>
          <w:sz w:val="28"/>
          <w:szCs w:val="28"/>
          <w:lang w:val="en-US" w:eastAsia="zh-CN"/>
        </w:rPr>
        <w:t>建议</w:t>
      </w:r>
    </w:p>
    <w:p w14:paraId="5DA6F50F">
      <w:pPr>
        <w:spacing w:line="360" w:lineRule="auto"/>
        <w:ind w:firstLine="422" w:firstLineChars="200"/>
        <w:rPr>
          <w:rFonts w:hint="eastAsia" w:ascii="仿宋" w:hAnsi="仿宋" w:eastAsia="仿宋" w:cs="仿宋"/>
          <w:bCs/>
          <w:kern w:val="2"/>
          <w:sz w:val="21"/>
          <w:szCs w:val="21"/>
          <w:lang w:val="en-US" w:eastAsia="zh-CN" w:bidi="ar-SA"/>
        </w:rPr>
      </w:pPr>
      <w:r>
        <w:rPr>
          <w:rFonts w:hint="eastAsia" w:ascii="仿宋" w:hAnsi="仿宋" w:eastAsia="仿宋" w:cs="仿宋"/>
          <w:b/>
          <w:bCs w:val="0"/>
          <w:kern w:val="2"/>
          <w:sz w:val="21"/>
          <w:szCs w:val="21"/>
          <w:lang w:val="en-US" w:eastAsia="zh-CN" w:bidi="ar-SA"/>
        </w:rPr>
        <w:t>针对供需不匹配问题，</w:t>
      </w:r>
      <w:r>
        <w:rPr>
          <w:rFonts w:hint="eastAsia" w:ascii="仿宋" w:hAnsi="仿宋" w:eastAsia="仿宋" w:cs="仿宋"/>
          <w:bCs/>
          <w:kern w:val="2"/>
          <w:sz w:val="21"/>
          <w:szCs w:val="21"/>
          <w:lang w:val="en-US" w:eastAsia="zh-CN" w:bidi="ar-SA"/>
        </w:rPr>
        <w:t>从学科动态调整、跨学科教育、信息化教学、对口实践培训、职业发展指导五个维度，构建“全过程”供需对接评价体系，弥合高校人才培养供给服务行业产业人才需求的供需鸿沟。</w:t>
      </w:r>
    </w:p>
    <w:p w14:paraId="43A6479F">
      <w:pPr>
        <w:spacing w:line="360" w:lineRule="auto"/>
        <w:ind w:firstLine="480" w:firstLineChars="200"/>
        <w:rPr>
          <w:rFonts w:hint="eastAsia" w:ascii="仿宋" w:hAnsi="仿宋" w:eastAsia="仿宋" w:cs="仿宋"/>
          <w:bCs/>
          <w:kern w:val="2"/>
          <w:sz w:val="21"/>
          <w:szCs w:val="21"/>
          <w:lang w:val="en-US" w:eastAsia="zh-CN" w:bidi="ar-SA"/>
        </w:rPr>
      </w:pPr>
      <w:r>
        <w:rPr>
          <w:rFonts w:hint="eastAsia" w:ascii="仿宋" w:hAnsi="仿宋" w:eastAsia="仿宋" w:cs="仿宋"/>
          <w:sz w:val="24"/>
          <w:szCs w:val="24"/>
          <w:lang w:val="en-US" w:eastAsia="zh-CN" w:bidi="ar-SA"/>
        </w:rPr>
        <w:drawing>
          <wp:anchor distT="0" distB="0" distL="114300" distR="114300" simplePos="0" relativeHeight="251660288" behindDoc="0" locked="0" layoutInCell="1" allowOverlap="1">
            <wp:simplePos x="0" y="0"/>
            <wp:positionH relativeFrom="column">
              <wp:posOffset>304800</wp:posOffset>
            </wp:positionH>
            <wp:positionV relativeFrom="paragraph">
              <wp:posOffset>72390</wp:posOffset>
            </wp:positionV>
            <wp:extent cx="5403215" cy="2627630"/>
            <wp:effectExtent l="0" t="0" r="6985" b="1270"/>
            <wp:wrapTopAndBottom/>
            <wp:docPr id="141" name="图片 141" descr="2caf083982febcf6e26078e84150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2caf083982febcf6e26078e8415059c"/>
                    <pic:cNvPicPr>
                      <a:picLocks noChangeAspect="1"/>
                    </pic:cNvPicPr>
                  </pic:nvPicPr>
                  <pic:blipFill>
                    <a:blip r:embed="rId6"/>
                    <a:stretch>
                      <a:fillRect/>
                    </a:stretch>
                  </pic:blipFill>
                  <pic:spPr>
                    <a:xfrm>
                      <a:off x="0" y="0"/>
                      <a:ext cx="5403215" cy="2627630"/>
                    </a:xfrm>
                    <a:prstGeom prst="rect">
                      <a:avLst/>
                    </a:prstGeom>
                    <a:noFill/>
                    <a:ln>
                      <a:noFill/>
                    </a:ln>
                  </pic:spPr>
                </pic:pic>
              </a:graphicData>
            </a:graphic>
          </wp:anchor>
        </w:drawing>
      </w:r>
    </w:p>
    <w:p w14:paraId="61210F49">
      <w:pPr>
        <w:spacing w:line="360" w:lineRule="auto"/>
        <w:ind w:firstLine="422" w:firstLineChars="200"/>
        <w:rPr>
          <w:rFonts w:hint="eastAsia" w:ascii="仿宋" w:hAnsi="仿宋" w:eastAsia="仿宋" w:cs="仿宋"/>
          <w:bCs/>
          <w:kern w:val="2"/>
          <w:sz w:val="21"/>
          <w:szCs w:val="21"/>
          <w:lang w:val="en-US" w:eastAsia="zh-CN" w:bidi="ar-SA"/>
        </w:rPr>
      </w:pPr>
      <w:r>
        <w:rPr>
          <w:rFonts w:hint="eastAsia" w:ascii="仿宋" w:hAnsi="仿宋" w:eastAsia="仿宋" w:cs="仿宋"/>
          <w:b/>
          <w:bCs w:val="0"/>
          <w:kern w:val="2"/>
          <w:sz w:val="21"/>
          <w:szCs w:val="21"/>
          <w:lang w:val="en-US" w:eastAsia="zh-CN" w:bidi="ar-SA"/>
        </w:rPr>
        <w:t>针对协同不紧密问题，</w:t>
      </w:r>
      <w:r>
        <w:rPr>
          <w:rFonts w:hint="eastAsia" w:ascii="仿宋" w:hAnsi="仿宋" w:eastAsia="仿宋" w:cs="仿宋"/>
          <w:bCs/>
          <w:kern w:val="2"/>
          <w:sz w:val="21"/>
          <w:szCs w:val="21"/>
          <w:lang w:val="en-US" w:eastAsia="zh-CN" w:bidi="ar-SA"/>
        </w:rPr>
        <w:t>从共建实践教学基地、合作沟通平台、师资“双向流动”三个层面，构建两建双向“全生态”产教融合协同模式，突破新时期行业产业实践与教育教学理论创新的协同不紧密难题。</w:t>
      </w:r>
    </w:p>
    <w:p w14:paraId="45E874FE">
      <w:pPr>
        <w:spacing w:line="360" w:lineRule="auto"/>
        <w:ind w:firstLine="420" w:firstLineChars="200"/>
        <w:rPr>
          <w:rFonts w:hint="eastAsia" w:ascii="仿宋" w:hAnsi="仿宋" w:eastAsia="仿宋" w:cs="仿宋"/>
          <w:bCs/>
          <w:kern w:val="2"/>
          <w:sz w:val="21"/>
          <w:szCs w:val="21"/>
          <w:lang w:val="en-US" w:eastAsia="zh-CN" w:bidi="ar-SA"/>
        </w:rPr>
      </w:pPr>
    </w:p>
    <w:p w14:paraId="491B0E82">
      <w:pPr>
        <w:spacing w:line="360" w:lineRule="auto"/>
        <w:ind w:firstLine="480" w:firstLineChars="200"/>
        <w:rPr>
          <w:rFonts w:hint="eastAsia" w:ascii="仿宋" w:hAnsi="仿宋" w:eastAsia="仿宋" w:cs="仿宋"/>
          <w:bCs/>
          <w:kern w:val="2"/>
          <w:sz w:val="21"/>
          <w:szCs w:val="21"/>
          <w:lang w:val="en-US" w:eastAsia="zh-CN" w:bidi="ar-SA"/>
        </w:rPr>
      </w:pPr>
      <w:r>
        <w:rPr>
          <w:rFonts w:hint="eastAsia" w:ascii="仿宋" w:hAnsi="仿宋" w:eastAsia="仿宋" w:cs="仿宋"/>
          <w:sz w:val="24"/>
          <w:szCs w:val="24"/>
          <w:lang w:val="en-US" w:eastAsia="zh-CN" w:bidi="ar-SA"/>
        </w:rPr>
        <w:drawing>
          <wp:anchor distT="0" distB="0" distL="114300" distR="114300" simplePos="0" relativeHeight="251661312" behindDoc="0" locked="0" layoutInCell="1" allowOverlap="1">
            <wp:simplePos x="0" y="0"/>
            <wp:positionH relativeFrom="column">
              <wp:posOffset>304800</wp:posOffset>
            </wp:positionH>
            <wp:positionV relativeFrom="paragraph">
              <wp:posOffset>34290</wp:posOffset>
            </wp:positionV>
            <wp:extent cx="4979035" cy="2696210"/>
            <wp:effectExtent l="0" t="0" r="12065" b="8890"/>
            <wp:wrapTopAndBottom/>
            <wp:docPr id="142" name="图片 142" descr="172117204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1721172049227"/>
                    <pic:cNvPicPr>
                      <a:picLocks noChangeAspect="1"/>
                    </pic:cNvPicPr>
                  </pic:nvPicPr>
                  <pic:blipFill>
                    <a:blip r:embed="rId7"/>
                    <a:stretch>
                      <a:fillRect/>
                    </a:stretch>
                  </pic:blipFill>
                  <pic:spPr>
                    <a:xfrm>
                      <a:off x="0" y="0"/>
                      <a:ext cx="4979035" cy="2696210"/>
                    </a:xfrm>
                    <a:prstGeom prst="rect">
                      <a:avLst/>
                    </a:prstGeom>
                    <a:noFill/>
                    <a:ln>
                      <a:noFill/>
                    </a:ln>
                  </pic:spPr>
                </pic:pic>
              </a:graphicData>
            </a:graphic>
          </wp:anchor>
        </w:drawing>
      </w:r>
    </w:p>
    <w:p w14:paraId="2172B66A">
      <w:pPr>
        <w:spacing w:line="360" w:lineRule="auto"/>
        <w:ind w:firstLine="420" w:firstLineChars="200"/>
        <w:rPr>
          <w:rFonts w:hint="eastAsia" w:ascii="仿宋" w:hAnsi="仿宋" w:eastAsia="仿宋" w:cs="仿宋"/>
          <w:bCs/>
          <w:kern w:val="2"/>
          <w:sz w:val="21"/>
          <w:szCs w:val="21"/>
          <w:lang w:val="en-US" w:eastAsia="zh-CN" w:bidi="ar-SA"/>
        </w:rPr>
      </w:pPr>
    </w:p>
    <w:p w14:paraId="0F92E52C">
      <w:pPr>
        <w:spacing w:line="360" w:lineRule="auto"/>
        <w:ind w:firstLine="422" w:firstLineChars="200"/>
        <w:rPr>
          <w:rFonts w:hint="eastAsia" w:ascii="仿宋" w:hAnsi="仿宋" w:eastAsia="仿宋" w:cs="仿宋"/>
          <w:bCs/>
          <w:kern w:val="2"/>
          <w:sz w:val="21"/>
          <w:szCs w:val="21"/>
          <w:lang w:val="en-US" w:eastAsia="zh-CN" w:bidi="ar-SA"/>
        </w:rPr>
      </w:pPr>
      <w:r>
        <w:rPr>
          <w:rFonts w:hint="eastAsia" w:ascii="仿宋" w:hAnsi="仿宋" w:eastAsia="仿宋" w:cs="仿宋"/>
          <w:b/>
          <w:bCs w:val="0"/>
          <w:kern w:val="2"/>
          <w:sz w:val="21"/>
          <w:szCs w:val="21"/>
          <w:lang w:val="en-US" w:eastAsia="zh-CN" w:bidi="ar-SA"/>
        </w:rPr>
        <w:t>针对动力不充沛问题，</w:t>
      </w:r>
      <w:r>
        <w:rPr>
          <w:rFonts w:hint="eastAsia" w:ascii="仿宋" w:hAnsi="仿宋" w:eastAsia="仿宋" w:cs="仿宋"/>
          <w:bCs/>
          <w:kern w:val="2"/>
          <w:sz w:val="21"/>
          <w:szCs w:val="21"/>
          <w:lang w:val="en-US" w:eastAsia="zh-CN" w:bidi="ar-SA"/>
        </w:rPr>
        <w:t>从宣传引导、多元化竞争、利益风险共担、政策激励四个方面，构建“市场-政策”双轮驱动激活内生动力，形成产教现代产教融合科教融汇校企协作育人双向奔赴新格局。</w:t>
      </w:r>
    </w:p>
    <w:p w14:paraId="471E3CBC">
      <w:pPr>
        <w:rPr>
          <w:rFonts w:hint="eastAsia" w:ascii="仿宋" w:hAnsi="仿宋" w:eastAsia="仿宋" w:cs="仿宋"/>
          <w:sz w:val="24"/>
          <w:szCs w:val="24"/>
          <w:lang w:val="en-US" w:eastAsia="zh-CN" w:bidi="ar-SA"/>
        </w:rPr>
      </w:pPr>
    </w:p>
    <w:p w14:paraId="0DCE327D">
      <w:pPr>
        <w:rPr>
          <w:rFonts w:hint="eastAsia" w:ascii="仿宋" w:hAnsi="仿宋" w:eastAsia="仿宋" w:cs="仿宋"/>
          <w:sz w:val="24"/>
          <w:szCs w:val="24"/>
          <w:lang w:val="en-US" w:eastAsia="zh-CN" w:bidi="ar-SA"/>
        </w:rPr>
      </w:pPr>
      <w:r>
        <w:rPr>
          <w:rFonts w:hint="eastAsia" w:ascii="仿宋" w:hAnsi="仿宋" w:eastAsia="仿宋" w:cs="仿宋"/>
          <w:sz w:val="24"/>
          <w:szCs w:val="24"/>
          <w:lang w:val="en-US" w:eastAsia="zh-CN" w:bidi="ar-SA"/>
        </w:rPr>
        <w:drawing>
          <wp:anchor distT="0" distB="0" distL="114300" distR="114300" simplePos="0" relativeHeight="251662336" behindDoc="0" locked="0" layoutInCell="1" allowOverlap="1">
            <wp:simplePos x="0" y="0"/>
            <wp:positionH relativeFrom="column">
              <wp:posOffset>0</wp:posOffset>
            </wp:positionH>
            <wp:positionV relativeFrom="paragraph">
              <wp:posOffset>24130</wp:posOffset>
            </wp:positionV>
            <wp:extent cx="5268595" cy="2517140"/>
            <wp:effectExtent l="0" t="0" r="1905" b="10160"/>
            <wp:wrapTopAndBottom/>
            <wp:docPr id="137" name="图片 137" descr="340075018594071ef25c694e33f54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340075018594071ef25c694e33f548a"/>
                    <pic:cNvPicPr>
                      <a:picLocks noChangeAspect="1"/>
                    </pic:cNvPicPr>
                  </pic:nvPicPr>
                  <pic:blipFill>
                    <a:blip r:embed="rId8"/>
                    <a:stretch>
                      <a:fillRect/>
                    </a:stretch>
                  </pic:blipFill>
                  <pic:spPr>
                    <a:xfrm>
                      <a:off x="0" y="0"/>
                      <a:ext cx="5268595" cy="2517140"/>
                    </a:xfrm>
                    <a:prstGeom prst="rect">
                      <a:avLst/>
                    </a:prstGeom>
                  </pic:spPr>
                </pic:pic>
              </a:graphicData>
            </a:graphic>
          </wp:anchor>
        </w:drawing>
      </w:r>
    </w:p>
    <w:p w14:paraId="01607C6E">
      <w:pPr>
        <w:spacing w:line="360" w:lineRule="auto"/>
        <w:ind w:firstLine="420" w:firstLineChars="200"/>
        <w:rPr>
          <w:rFonts w:hint="default" w:ascii="宋体" w:hAnsi="宋体" w:eastAsia="宋体" w:cstheme="minorBidi"/>
          <w:kern w:val="2"/>
          <w:sz w:val="21"/>
          <w:szCs w:val="24"/>
          <w:lang w:val="en-US" w:eastAsia="zh-CN" w:bidi="ar-SA"/>
        </w:rPr>
      </w:pPr>
      <w:r>
        <w:rPr>
          <w:rFonts w:hint="eastAsia" w:ascii="仿宋" w:hAnsi="仿宋" w:eastAsia="仿宋" w:cs="仿宋"/>
          <w:sz w:val="21"/>
          <w:szCs w:val="21"/>
          <w:lang w:val="en-US" w:eastAsia="zh-CN"/>
        </w:rPr>
        <w:t>特色骨干大学要</w:t>
      </w:r>
      <w:r>
        <w:rPr>
          <w:rFonts w:hint="eastAsia" w:ascii="仿宋" w:hAnsi="仿宋" w:eastAsia="仿宋" w:cs="仿宋"/>
          <w:sz w:val="21"/>
          <w:szCs w:val="21"/>
        </w:rPr>
        <w:t>聚焦优势特色学科，坚持有所为有所不为，</w:t>
      </w:r>
      <w:r>
        <w:rPr>
          <w:rFonts w:hint="eastAsia" w:ascii="仿宋" w:hAnsi="仿宋" w:eastAsia="仿宋" w:cs="仿宋"/>
          <w:sz w:val="21"/>
          <w:szCs w:val="21"/>
          <w:lang w:val="en-US" w:eastAsia="zh-CN"/>
        </w:rPr>
        <w:t>深度融入行业产业，</w:t>
      </w:r>
      <w:r>
        <w:rPr>
          <w:rFonts w:hint="eastAsia" w:ascii="仿宋" w:hAnsi="仿宋" w:eastAsia="仿宋" w:cs="仿宋"/>
          <w:sz w:val="21"/>
          <w:szCs w:val="21"/>
        </w:rPr>
        <w:t>把优势做大、特色做强，</w:t>
      </w:r>
      <w:r>
        <w:rPr>
          <w:rFonts w:hint="eastAsia" w:ascii="仿宋" w:hAnsi="仿宋" w:eastAsia="仿宋" w:cs="仿宋"/>
          <w:sz w:val="21"/>
          <w:szCs w:val="21"/>
          <w:lang w:val="en-US" w:eastAsia="zh-CN"/>
        </w:rPr>
        <w:t>形成</w:t>
      </w:r>
      <w:r>
        <w:rPr>
          <w:rFonts w:hint="eastAsia" w:ascii="仿宋" w:hAnsi="仿宋" w:eastAsia="仿宋" w:cs="仿宋"/>
          <w:sz w:val="21"/>
          <w:szCs w:val="21"/>
        </w:rPr>
        <w:t>核心竞争力，为经济社会和行业产业发展</w:t>
      </w:r>
      <w:r>
        <w:rPr>
          <w:rFonts w:hint="eastAsia" w:ascii="仿宋" w:hAnsi="仿宋" w:eastAsia="仿宋" w:cs="仿宋"/>
          <w:sz w:val="21"/>
          <w:szCs w:val="21"/>
          <w:lang w:val="en-US" w:eastAsia="zh-CN"/>
        </w:rPr>
        <w:t>提供强力的人才和科技支撑，</w:t>
      </w:r>
      <w:r>
        <w:rPr>
          <w:rFonts w:hint="eastAsia" w:ascii="仿宋" w:hAnsi="仿宋" w:eastAsia="仿宋" w:cs="仿宋"/>
          <w:sz w:val="21"/>
          <w:szCs w:val="21"/>
        </w:rPr>
        <w:t>产出更多</w:t>
      </w:r>
      <w:r>
        <w:rPr>
          <w:rFonts w:hint="eastAsia" w:ascii="仿宋" w:hAnsi="仿宋" w:eastAsia="仿宋" w:cs="仿宋"/>
          <w:sz w:val="21"/>
          <w:szCs w:val="21"/>
          <w:lang w:val="en-US" w:eastAsia="zh-CN"/>
        </w:rPr>
        <w:t>高质量</w:t>
      </w:r>
      <w:r>
        <w:rPr>
          <w:rFonts w:hint="eastAsia" w:ascii="仿宋" w:hAnsi="仿宋" w:eastAsia="仿宋" w:cs="仿宋"/>
          <w:sz w:val="21"/>
          <w:szCs w:val="21"/>
        </w:rPr>
        <w:t>成果，实现</w:t>
      </w:r>
      <w:r>
        <w:rPr>
          <w:rFonts w:hint="eastAsia" w:ascii="仿宋" w:hAnsi="仿宋" w:eastAsia="仿宋" w:cs="仿宋"/>
          <w:sz w:val="21"/>
          <w:szCs w:val="21"/>
          <w:lang w:val="en-US" w:eastAsia="zh-CN"/>
        </w:rPr>
        <w:t>校企双赢</w:t>
      </w:r>
      <w:r>
        <w:rPr>
          <w:rFonts w:hint="eastAsia" w:ascii="仿宋" w:hAnsi="仿宋" w:eastAsia="仿宋" w:cs="仿宋"/>
          <w:sz w:val="21"/>
          <w:szCs w:val="21"/>
        </w:rPr>
        <w:t>。</w:t>
      </w:r>
      <w:bookmarkStart w:id="64" w:name="_GoBack"/>
      <w:bookmarkEnd w:id="64"/>
    </w:p>
    <w:sectPr>
      <w:footerReference r:id="rId4" w:type="default"/>
      <w:pgSz w:w="11906" w:h="16838"/>
      <w:pgMar w:top="1440" w:right="1800" w:bottom="1440" w:left="1800" w:header="851" w:footer="992" w:gutter="0"/>
      <w:pgNumType w:fmt="decimal"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492C4">
    <w:pPr>
      <w:pStyle w:val="8"/>
      <w:jc w:val="righ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0F51F">
    <w:pPr>
      <w:pStyle w:val="8"/>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default" w:ascii="Times New Roman" w:hAnsi="Times New Roman" w:cs="Times New Roman"/>
                              <w:sz w:val="24"/>
                              <w:szCs w:val="24"/>
                            </w:rPr>
                            <w:id w:val="1449426442"/>
                          </w:sdtPr>
                          <w:sdtEndPr>
                            <w:rPr>
                              <w:rFonts w:hint="default" w:ascii="Times New Roman" w:hAnsi="Times New Roman" w:cs="Times New Roman"/>
                              <w:sz w:val="24"/>
                              <w:szCs w:val="24"/>
                            </w:rPr>
                          </w:sdtEndPr>
                          <w:sdtContent>
                            <w:p w14:paraId="4D3CF787">
                              <w:pPr>
                                <w:pStyle w:val="8"/>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2</w:t>
                              </w:r>
                              <w:r>
                                <w:rPr>
                                  <w:rFonts w:hint="default" w:ascii="Times New Roman" w:hAnsi="Times New Roman" w:cs="Times New Roman"/>
                                  <w:sz w:val="24"/>
                                  <w:szCs w:val="24"/>
                                </w:rPr>
                                <w:fldChar w:fldCharType="end"/>
                              </w:r>
                            </w:p>
                          </w:sdtContent>
                        </w:sdt>
                        <w:p w14:paraId="0B59A423">
                          <w:pPr>
                            <w:rPr>
                              <w:rFonts w:hint="default" w:ascii="Times New Roman" w:hAnsi="Times New Roman" w:cs="Times New Roman"/>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sdt>
                    <w:sdtPr>
                      <w:rPr>
                        <w:rFonts w:hint="default" w:ascii="Times New Roman" w:hAnsi="Times New Roman" w:cs="Times New Roman"/>
                        <w:sz w:val="24"/>
                        <w:szCs w:val="24"/>
                      </w:rPr>
                      <w:id w:val="1449426442"/>
                    </w:sdtPr>
                    <w:sdtEndPr>
                      <w:rPr>
                        <w:rFonts w:hint="default" w:ascii="Times New Roman" w:hAnsi="Times New Roman" w:cs="Times New Roman"/>
                        <w:sz w:val="24"/>
                        <w:szCs w:val="24"/>
                      </w:rPr>
                    </w:sdtEndPr>
                    <w:sdtContent>
                      <w:p w14:paraId="4D3CF787">
                        <w:pPr>
                          <w:pStyle w:val="8"/>
                          <w:jc w:val="right"/>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2</w:t>
                        </w:r>
                        <w:r>
                          <w:rPr>
                            <w:rFonts w:hint="default" w:ascii="Times New Roman" w:hAnsi="Times New Roman" w:cs="Times New Roman"/>
                            <w:sz w:val="24"/>
                            <w:szCs w:val="24"/>
                          </w:rPr>
                          <w:fldChar w:fldCharType="end"/>
                        </w:r>
                      </w:p>
                    </w:sdtContent>
                  </w:sdt>
                  <w:p w14:paraId="0B59A423">
                    <w:pPr>
                      <w:rPr>
                        <w:rFonts w:hint="default" w:ascii="Times New Roman" w:hAnsi="Times New Roman" w:cs="Times New Roman"/>
                        <w:sz w:val="24"/>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YTdmNjI4ZTQ4MzViNmJkYTg4MmU5MWE0MmQ2YzEifQ=="/>
  </w:docVars>
  <w:rsids>
    <w:rsidRoot w:val="00172A27"/>
    <w:rsid w:val="000206F6"/>
    <w:rsid w:val="000654E5"/>
    <w:rsid w:val="00071E59"/>
    <w:rsid w:val="000D0A24"/>
    <w:rsid w:val="00135389"/>
    <w:rsid w:val="00164D9A"/>
    <w:rsid w:val="00171A9A"/>
    <w:rsid w:val="0018464A"/>
    <w:rsid w:val="001B26DC"/>
    <w:rsid w:val="00220988"/>
    <w:rsid w:val="002F5708"/>
    <w:rsid w:val="0032083A"/>
    <w:rsid w:val="00383EBE"/>
    <w:rsid w:val="003910FC"/>
    <w:rsid w:val="003A0C4D"/>
    <w:rsid w:val="003B4924"/>
    <w:rsid w:val="003F0BC0"/>
    <w:rsid w:val="00410D63"/>
    <w:rsid w:val="0047126C"/>
    <w:rsid w:val="004B17A7"/>
    <w:rsid w:val="004B2C3A"/>
    <w:rsid w:val="004D1F28"/>
    <w:rsid w:val="00510B10"/>
    <w:rsid w:val="00556B17"/>
    <w:rsid w:val="005D1D93"/>
    <w:rsid w:val="005D60AC"/>
    <w:rsid w:val="0061675A"/>
    <w:rsid w:val="00635032"/>
    <w:rsid w:val="00747B1D"/>
    <w:rsid w:val="007A40DF"/>
    <w:rsid w:val="00844FD2"/>
    <w:rsid w:val="00860A01"/>
    <w:rsid w:val="0089172A"/>
    <w:rsid w:val="008E1730"/>
    <w:rsid w:val="00931006"/>
    <w:rsid w:val="009516CA"/>
    <w:rsid w:val="009521F5"/>
    <w:rsid w:val="009528C3"/>
    <w:rsid w:val="009D3712"/>
    <w:rsid w:val="009E048F"/>
    <w:rsid w:val="00A040EE"/>
    <w:rsid w:val="00A7450A"/>
    <w:rsid w:val="00AD5D41"/>
    <w:rsid w:val="00AF3B0E"/>
    <w:rsid w:val="00B16984"/>
    <w:rsid w:val="00B42F02"/>
    <w:rsid w:val="00B50F73"/>
    <w:rsid w:val="00BB5125"/>
    <w:rsid w:val="00BD0A9B"/>
    <w:rsid w:val="00BE7CEB"/>
    <w:rsid w:val="00C0558A"/>
    <w:rsid w:val="00C85EC4"/>
    <w:rsid w:val="00C92E98"/>
    <w:rsid w:val="00D676FA"/>
    <w:rsid w:val="00D76F03"/>
    <w:rsid w:val="00D86861"/>
    <w:rsid w:val="00E46C4F"/>
    <w:rsid w:val="00E96EC5"/>
    <w:rsid w:val="00EE048A"/>
    <w:rsid w:val="00F02E54"/>
    <w:rsid w:val="00F5329A"/>
    <w:rsid w:val="00F64EBF"/>
    <w:rsid w:val="0164583D"/>
    <w:rsid w:val="01DD59FB"/>
    <w:rsid w:val="01F34104"/>
    <w:rsid w:val="04217765"/>
    <w:rsid w:val="06D2686B"/>
    <w:rsid w:val="07F80AC0"/>
    <w:rsid w:val="08D278F0"/>
    <w:rsid w:val="09761443"/>
    <w:rsid w:val="09976DD7"/>
    <w:rsid w:val="0A595E3B"/>
    <w:rsid w:val="0B2E5519"/>
    <w:rsid w:val="0B856F35"/>
    <w:rsid w:val="0C50246A"/>
    <w:rsid w:val="0D561F9B"/>
    <w:rsid w:val="0E1F0B24"/>
    <w:rsid w:val="0EF425D6"/>
    <w:rsid w:val="0FE46E71"/>
    <w:rsid w:val="101D0397"/>
    <w:rsid w:val="102E3D0B"/>
    <w:rsid w:val="104E5D16"/>
    <w:rsid w:val="108A39A5"/>
    <w:rsid w:val="10D636E5"/>
    <w:rsid w:val="112A0531"/>
    <w:rsid w:val="113A39C4"/>
    <w:rsid w:val="12604858"/>
    <w:rsid w:val="13737F6D"/>
    <w:rsid w:val="13BF6366"/>
    <w:rsid w:val="13F83B1B"/>
    <w:rsid w:val="146E4BD8"/>
    <w:rsid w:val="14FE1A50"/>
    <w:rsid w:val="1556736A"/>
    <w:rsid w:val="161C28E0"/>
    <w:rsid w:val="172761C7"/>
    <w:rsid w:val="173E0E11"/>
    <w:rsid w:val="17A46B82"/>
    <w:rsid w:val="17DD5116"/>
    <w:rsid w:val="18037974"/>
    <w:rsid w:val="18893D8F"/>
    <w:rsid w:val="18E0010C"/>
    <w:rsid w:val="19832F59"/>
    <w:rsid w:val="19B76582"/>
    <w:rsid w:val="1A1A3138"/>
    <w:rsid w:val="1AA41354"/>
    <w:rsid w:val="1D2A31B4"/>
    <w:rsid w:val="1F695C66"/>
    <w:rsid w:val="1FEF0D70"/>
    <w:rsid w:val="20EC75B1"/>
    <w:rsid w:val="217C4F57"/>
    <w:rsid w:val="218E68BA"/>
    <w:rsid w:val="221443C0"/>
    <w:rsid w:val="22E56BBC"/>
    <w:rsid w:val="23330F55"/>
    <w:rsid w:val="23B601C6"/>
    <w:rsid w:val="23CD7ACB"/>
    <w:rsid w:val="2444010B"/>
    <w:rsid w:val="24A7216D"/>
    <w:rsid w:val="24C04DB3"/>
    <w:rsid w:val="24F27FFD"/>
    <w:rsid w:val="25AC1AE5"/>
    <w:rsid w:val="25E250D3"/>
    <w:rsid w:val="25EE003C"/>
    <w:rsid w:val="26357304"/>
    <w:rsid w:val="26B24976"/>
    <w:rsid w:val="28790898"/>
    <w:rsid w:val="29007964"/>
    <w:rsid w:val="29C70BBB"/>
    <w:rsid w:val="2A500D37"/>
    <w:rsid w:val="2A6112DA"/>
    <w:rsid w:val="2B2930EB"/>
    <w:rsid w:val="2C533488"/>
    <w:rsid w:val="2CA27D5E"/>
    <w:rsid w:val="2D611067"/>
    <w:rsid w:val="2D877108"/>
    <w:rsid w:val="2D8D2A73"/>
    <w:rsid w:val="2E285F59"/>
    <w:rsid w:val="2EBC2454"/>
    <w:rsid w:val="2F1F0B51"/>
    <w:rsid w:val="2F8310E0"/>
    <w:rsid w:val="305B205D"/>
    <w:rsid w:val="31153B12"/>
    <w:rsid w:val="32772841"/>
    <w:rsid w:val="337829A3"/>
    <w:rsid w:val="33F26834"/>
    <w:rsid w:val="34E05800"/>
    <w:rsid w:val="353E11C7"/>
    <w:rsid w:val="35685B45"/>
    <w:rsid w:val="36C22E36"/>
    <w:rsid w:val="36C44CBA"/>
    <w:rsid w:val="372A4636"/>
    <w:rsid w:val="37466B32"/>
    <w:rsid w:val="38037262"/>
    <w:rsid w:val="381761BF"/>
    <w:rsid w:val="385E093C"/>
    <w:rsid w:val="38F4304F"/>
    <w:rsid w:val="39400042"/>
    <w:rsid w:val="3A1A0637"/>
    <w:rsid w:val="3A1B75CC"/>
    <w:rsid w:val="3A4162ED"/>
    <w:rsid w:val="3A902B7F"/>
    <w:rsid w:val="3AD02995"/>
    <w:rsid w:val="3BC1546A"/>
    <w:rsid w:val="3C4B1D5F"/>
    <w:rsid w:val="3C776471"/>
    <w:rsid w:val="3C9064E5"/>
    <w:rsid w:val="3CC43798"/>
    <w:rsid w:val="3D422AD5"/>
    <w:rsid w:val="3D6407A3"/>
    <w:rsid w:val="3E6704EC"/>
    <w:rsid w:val="3F197770"/>
    <w:rsid w:val="3F3D109C"/>
    <w:rsid w:val="40316A6A"/>
    <w:rsid w:val="40C07696"/>
    <w:rsid w:val="4201746D"/>
    <w:rsid w:val="420936C7"/>
    <w:rsid w:val="435E7B3D"/>
    <w:rsid w:val="43B71FEA"/>
    <w:rsid w:val="44326EAC"/>
    <w:rsid w:val="445C54DF"/>
    <w:rsid w:val="463A4797"/>
    <w:rsid w:val="46565349"/>
    <w:rsid w:val="4740402F"/>
    <w:rsid w:val="47E02F3C"/>
    <w:rsid w:val="48C912B8"/>
    <w:rsid w:val="49211C3E"/>
    <w:rsid w:val="49221512"/>
    <w:rsid w:val="4A4A38AF"/>
    <w:rsid w:val="4A5D766A"/>
    <w:rsid w:val="4AAE08FE"/>
    <w:rsid w:val="4B1D2837"/>
    <w:rsid w:val="4B3537EA"/>
    <w:rsid w:val="4BFE1FBE"/>
    <w:rsid w:val="4CED1506"/>
    <w:rsid w:val="4CF32D3D"/>
    <w:rsid w:val="4E055365"/>
    <w:rsid w:val="4EA72C2E"/>
    <w:rsid w:val="4FB86218"/>
    <w:rsid w:val="5011796D"/>
    <w:rsid w:val="508200B7"/>
    <w:rsid w:val="51D31BCB"/>
    <w:rsid w:val="51E4596C"/>
    <w:rsid w:val="523E59DC"/>
    <w:rsid w:val="52622C38"/>
    <w:rsid w:val="53167C2E"/>
    <w:rsid w:val="53F42E61"/>
    <w:rsid w:val="54CC1F1C"/>
    <w:rsid w:val="558F1CDD"/>
    <w:rsid w:val="566178FF"/>
    <w:rsid w:val="567B67FA"/>
    <w:rsid w:val="58344186"/>
    <w:rsid w:val="591402E2"/>
    <w:rsid w:val="5996091D"/>
    <w:rsid w:val="59C81FA7"/>
    <w:rsid w:val="5A8C2C8F"/>
    <w:rsid w:val="5AAF5B58"/>
    <w:rsid w:val="5B637E94"/>
    <w:rsid w:val="5C311D40"/>
    <w:rsid w:val="5CAC4AA9"/>
    <w:rsid w:val="5D031637"/>
    <w:rsid w:val="5DB55C19"/>
    <w:rsid w:val="5E824F54"/>
    <w:rsid w:val="5E867715"/>
    <w:rsid w:val="5EE50BC0"/>
    <w:rsid w:val="5F191CAD"/>
    <w:rsid w:val="5F585836"/>
    <w:rsid w:val="5F906D7E"/>
    <w:rsid w:val="60F63558"/>
    <w:rsid w:val="627C4CDF"/>
    <w:rsid w:val="62827706"/>
    <w:rsid w:val="629C6E78"/>
    <w:rsid w:val="636536BD"/>
    <w:rsid w:val="64837196"/>
    <w:rsid w:val="649D6A67"/>
    <w:rsid w:val="65203D57"/>
    <w:rsid w:val="66D47C7E"/>
    <w:rsid w:val="67463061"/>
    <w:rsid w:val="68501540"/>
    <w:rsid w:val="69F73655"/>
    <w:rsid w:val="6AC639B2"/>
    <w:rsid w:val="6B0D193D"/>
    <w:rsid w:val="6BCE4EB6"/>
    <w:rsid w:val="6C27082B"/>
    <w:rsid w:val="6CC02668"/>
    <w:rsid w:val="6D0C57AE"/>
    <w:rsid w:val="6D747CDF"/>
    <w:rsid w:val="6D824D5E"/>
    <w:rsid w:val="6E1240E8"/>
    <w:rsid w:val="6E1B015A"/>
    <w:rsid w:val="6EFB05B6"/>
    <w:rsid w:val="6F571609"/>
    <w:rsid w:val="6FBE7892"/>
    <w:rsid w:val="6FC67FD7"/>
    <w:rsid w:val="704477AF"/>
    <w:rsid w:val="704D2BDC"/>
    <w:rsid w:val="70D3219F"/>
    <w:rsid w:val="712F7E59"/>
    <w:rsid w:val="727D6432"/>
    <w:rsid w:val="73DE006D"/>
    <w:rsid w:val="74253AE1"/>
    <w:rsid w:val="74BF0755"/>
    <w:rsid w:val="74F45A92"/>
    <w:rsid w:val="757B5A0C"/>
    <w:rsid w:val="76165DD7"/>
    <w:rsid w:val="76CC46E8"/>
    <w:rsid w:val="77BA5C11"/>
    <w:rsid w:val="79A6770F"/>
    <w:rsid w:val="7A3525A4"/>
    <w:rsid w:val="7AD16FF3"/>
    <w:rsid w:val="7C5877CE"/>
    <w:rsid w:val="7CF14EA8"/>
    <w:rsid w:val="7D0D06F6"/>
    <w:rsid w:val="7E417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unhideWhenUsed/>
    <w:qFormat/>
    <w:uiPriority w:val="1"/>
  </w:style>
  <w:style w:type="table" w:default="1" w:styleId="12">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next w:val="1"/>
    <w:autoRedefine/>
    <w:qFormat/>
    <w:uiPriority w:val="0"/>
    <w:pPr>
      <w:spacing w:after="120"/>
    </w:pPr>
    <w:rPr>
      <w:rFonts w:eastAsia="宋体" w:cs="Times New Roman"/>
      <w:sz w:val="21"/>
      <w:szCs w:val="24"/>
    </w:rPr>
  </w:style>
  <w:style w:type="paragraph" w:styleId="5">
    <w:name w:val="toc 3"/>
    <w:basedOn w:val="1"/>
    <w:next w:val="1"/>
    <w:autoRedefine/>
    <w:unhideWhenUsed/>
    <w:qFormat/>
    <w:uiPriority w:val="39"/>
    <w:pPr>
      <w:widowControl/>
      <w:spacing w:after="100" w:line="259" w:lineRule="auto"/>
      <w:ind w:left="440"/>
      <w:jc w:val="left"/>
    </w:pPr>
    <w:rPr>
      <w:rFonts w:cs="Times New Roman"/>
      <w:kern w:val="0"/>
      <w:sz w:val="22"/>
      <w:szCs w:val="22"/>
    </w:rPr>
  </w:style>
  <w:style w:type="paragraph" w:styleId="6">
    <w:name w:val="Plain Text"/>
    <w:basedOn w:val="1"/>
    <w:link w:val="20"/>
    <w:unhideWhenUsed/>
    <w:qFormat/>
    <w:uiPriority w:val="99"/>
    <w:rPr>
      <w:rFonts w:ascii="宋体" w:hAnsi="Courier New" w:eastAsia="宋体" w:cs="Courier New"/>
      <w:szCs w:val="21"/>
    </w:rPr>
  </w:style>
  <w:style w:type="paragraph" w:styleId="7">
    <w:name w:val="Date"/>
    <w:basedOn w:val="1"/>
    <w:next w:val="1"/>
    <w:link w:val="22"/>
    <w:qFormat/>
    <w:uiPriority w:val="0"/>
    <w:pPr>
      <w:keepNext w:val="0"/>
      <w:keepLines w:val="0"/>
      <w:widowControl w:val="0"/>
      <w:suppressLineNumbers w:val="0"/>
      <w:spacing w:before="0" w:beforeAutospacing="0" w:after="0" w:afterAutospacing="0"/>
      <w:ind w:left="2500" w:leftChars="2500" w:right="0"/>
      <w:jc w:val="both"/>
    </w:pPr>
    <w:rPr>
      <w:rFonts w:hint="default" w:ascii="Times New Roman" w:hAnsi="Times New Roman" w:eastAsia="仿宋_GB2312" w:cs="Times New Roman"/>
      <w:kern w:val="2"/>
      <w:sz w:val="30"/>
      <w:szCs w:val="30"/>
      <w:lang w:val="en-US" w:eastAsia="zh-CN" w:bidi="ar"/>
    </w:rPr>
  </w:style>
  <w:style w:type="paragraph" w:styleId="8">
    <w:name w:val="footer"/>
    <w:basedOn w:val="1"/>
    <w:link w:val="16"/>
    <w:autoRedefine/>
    <w:qFormat/>
    <w:uiPriority w:val="99"/>
    <w:pPr>
      <w:tabs>
        <w:tab w:val="center" w:pos="4153"/>
        <w:tab w:val="right" w:pos="8306"/>
      </w:tabs>
      <w:snapToGrid w:val="0"/>
      <w:jc w:val="left"/>
    </w:pPr>
    <w:rPr>
      <w:sz w:val="18"/>
      <w:szCs w:val="18"/>
    </w:rPr>
  </w:style>
  <w:style w:type="paragraph" w:styleId="9">
    <w:name w:val="header"/>
    <w:basedOn w:val="1"/>
    <w:link w:val="15"/>
    <w:autoRedefine/>
    <w:qFormat/>
    <w:uiPriority w:val="0"/>
    <w:pPr>
      <w:tabs>
        <w:tab w:val="center" w:pos="4153"/>
        <w:tab w:val="right" w:pos="8306"/>
      </w:tabs>
      <w:snapToGrid w:val="0"/>
      <w:jc w:val="center"/>
    </w:pPr>
    <w:rPr>
      <w:sz w:val="18"/>
      <w:szCs w:val="18"/>
    </w:rPr>
  </w:style>
  <w:style w:type="paragraph" w:styleId="10">
    <w:name w:val="toc 1"/>
    <w:basedOn w:val="1"/>
    <w:next w:val="1"/>
    <w:autoRedefine/>
    <w:unhideWhenUsed/>
    <w:qFormat/>
    <w:uiPriority w:val="39"/>
    <w:pPr>
      <w:widowControl/>
      <w:tabs>
        <w:tab w:val="right" w:leader="dot" w:pos="8296"/>
      </w:tabs>
      <w:spacing w:after="100" w:line="259" w:lineRule="auto"/>
      <w:jc w:val="left"/>
    </w:pPr>
    <w:rPr>
      <w:rFonts w:cs="Times New Roman"/>
      <w:b/>
      <w:bCs/>
      <w:kern w:val="0"/>
      <w:sz w:val="28"/>
      <w:szCs w:val="28"/>
    </w:rPr>
  </w:style>
  <w:style w:type="paragraph" w:styleId="11">
    <w:name w:val="toc 2"/>
    <w:basedOn w:val="1"/>
    <w:next w:val="1"/>
    <w:unhideWhenUsed/>
    <w:qFormat/>
    <w:uiPriority w:val="39"/>
    <w:pPr>
      <w:widowControl/>
      <w:spacing w:after="100" w:line="259" w:lineRule="auto"/>
      <w:ind w:left="220"/>
      <w:jc w:val="left"/>
    </w:pPr>
    <w:rPr>
      <w:rFonts w:cs="Times New Roman"/>
      <w:kern w:val="0"/>
      <w:sz w:val="22"/>
      <w:szCs w:val="22"/>
    </w:rPr>
  </w:style>
  <w:style w:type="character" w:styleId="14">
    <w:name w:val="Hyperlink"/>
    <w:basedOn w:val="13"/>
    <w:autoRedefine/>
    <w:unhideWhenUsed/>
    <w:qFormat/>
    <w:uiPriority w:val="99"/>
    <w:rPr>
      <w:color w:val="0026E5" w:themeColor="hyperlink"/>
      <w:u w:val="single"/>
      <w14:textFill>
        <w14:solidFill>
          <w14:schemeClr w14:val="hlink"/>
        </w14:solidFill>
      </w14:textFill>
    </w:rPr>
  </w:style>
  <w:style w:type="character" w:customStyle="1" w:styleId="15">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6">
    <w:name w:val="页脚 字符"/>
    <w:basedOn w:val="13"/>
    <w:link w:val="8"/>
    <w:autoRedefine/>
    <w:qFormat/>
    <w:uiPriority w:val="99"/>
    <w:rPr>
      <w:rFonts w:asciiTheme="minorHAnsi" w:hAnsiTheme="minorHAnsi" w:eastAsiaTheme="minorEastAsia" w:cstheme="minorBidi"/>
      <w:kern w:val="2"/>
      <w:sz w:val="18"/>
      <w:szCs w:val="18"/>
    </w:rPr>
  </w:style>
  <w:style w:type="character" w:customStyle="1" w:styleId="17">
    <w:name w:val="标题 1 字符"/>
    <w:basedOn w:val="13"/>
    <w:link w:val="2"/>
    <w:autoRedefine/>
    <w:qFormat/>
    <w:uiPriority w:val="0"/>
    <w:rPr>
      <w:rFonts w:asciiTheme="minorHAnsi" w:hAnsiTheme="minorHAnsi" w:eastAsiaTheme="minorEastAsia" w:cstheme="minorBidi"/>
      <w:b/>
      <w:bCs/>
      <w:kern w:val="44"/>
      <w:sz w:val="44"/>
      <w:szCs w:val="44"/>
    </w:rPr>
  </w:style>
  <w:style w:type="paragraph" w:customStyle="1" w:styleId="18">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19">
    <w:name w:val="标题 2 字符"/>
    <w:basedOn w:val="13"/>
    <w:link w:val="3"/>
    <w:autoRedefine/>
    <w:qFormat/>
    <w:uiPriority w:val="0"/>
    <w:rPr>
      <w:rFonts w:asciiTheme="majorHAnsi" w:hAnsiTheme="majorHAnsi" w:eastAsiaTheme="majorEastAsia" w:cstheme="majorBidi"/>
      <w:b/>
      <w:bCs/>
      <w:kern w:val="2"/>
      <w:sz w:val="32"/>
      <w:szCs w:val="32"/>
    </w:rPr>
  </w:style>
  <w:style w:type="character" w:customStyle="1" w:styleId="20">
    <w:name w:val="纯文本 字符"/>
    <w:basedOn w:val="13"/>
    <w:link w:val="6"/>
    <w:autoRedefine/>
    <w:qFormat/>
    <w:uiPriority w:val="99"/>
    <w:rPr>
      <w:rFonts w:ascii="宋体" w:hAnsi="Courier New" w:cs="Courier New"/>
      <w:kern w:val="2"/>
      <w:sz w:val="21"/>
      <w:szCs w:val="21"/>
    </w:rPr>
  </w:style>
  <w:style w:type="paragraph" w:customStyle="1" w:styleId="21">
    <w:name w:val="Table Text"/>
    <w:basedOn w:val="1"/>
    <w:autoRedefine/>
    <w:semiHidden/>
    <w:qFormat/>
    <w:uiPriority w:val="0"/>
    <w:rPr>
      <w:rFonts w:ascii="宋体" w:hAnsi="宋体" w:eastAsia="宋体" w:cs="宋体"/>
      <w:sz w:val="21"/>
      <w:szCs w:val="21"/>
      <w:lang w:val="en-US" w:eastAsia="en-US" w:bidi="ar-SA"/>
    </w:rPr>
  </w:style>
  <w:style w:type="character" w:customStyle="1" w:styleId="22">
    <w:name w:val="日期 字符"/>
    <w:basedOn w:val="13"/>
    <w:link w:val="7"/>
    <w:qFormat/>
    <w:uiPriority w:val="0"/>
    <w:rPr>
      <w:rFonts w:hint="eastAsia" w:ascii="仿宋_GB2312" w:eastAsia="仿宋_GB2312" w:cs="仿宋_GB2312"/>
      <w:kern w:val="2"/>
      <w:sz w:val="30"/>
      <w:szCs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3E613D-F769-4E4A-9955-2BF86F14008D}">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14767</Words>
  <Characters>16016</Characters>
  <Lines>42</Lines>
  <Paragraphs>11</Paragraphs>
  <TotalTime>1</TotalTime>
  <ScaleCrop>false</ScaleCrop>
  <LinksUpToDate>false</LinksUpToDate>
  <CharactersWithSpaces>16464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2023-10-11T06:42:00Z</dcterms:created>
  <dc:creator>yanghao</dc:creator>
  <cp:lastModifiedBy>qzuser</cp:lastModifiedBy>
  <cp:lastPrinted>2023-10-15T04:02:00Z</cp:lastPrinted>
  <dcterms:modified xsi:type="dcterms:W3CDTF">2024-08-09T02:56:38Z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20277EE7B607439EBE746D0D1E72DF98_13</vt:lpwstr>
  </property>
</Properties>
</file>