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590665">
      <w:pPr>
        <w:widowControl/>
        <w:spacing w:line="360" w:lineRule="auto"/>
        <w:jc w:val="center"/>
        <w:rPr>
          <w:rFonts w:ascii="仿宋_GB2312" w:hAnsi="仿宋_GB2312" w:eastAsia="仿宋_GB2312" w:cs="仿宋_GB2312"/>
          <w:b/>
          <w:bCs/>
          <w:color w:val="000000"/>
          <w:kern w:val="0"/>
          <w:sz w:val="32"/>
          <w:szCs w:val="32"/>
          <w:lang w:bidi="ar"/>
        </w:rPr>
      </w:pPr>
    </w:p>
    <w:p w14:paraId="4BDDDCEC">
      <w:pPr>
        <w:widowControl/>
        <w:spacing w:line="360" w:lineRule="auto"/>
        <w:jc w:val="center"/>
        <w:rPr>
          <w:rFonts w:ascii="仿宋_GB2312" w:hAnsi="仿宋_GB2312" w:eastAsia="仿宋_GB2312" w:cs="仿宋_GB2312"/>
          <w:b/>
          <w:bCs/>
          <w:color w:val="000000"/>
          <w:kern w:val="0"/>
          <w:sz w:val="32"/>
          <w:szCs w:val="32"/>
          <w:lang w:bidi="ar"/>
        </w:rPr>
      </w:pPr>
    </w:p>
    <w:p w14:paraId="7E502303">
      <w:pPr>
        <w:pStyle w:val="4"/>
        <w:snapToGrid w:val="0"/>
        <w:jc w:val="center"/>
        <w:rPr>
          <w:rFonts w:hint="eastAsia" w:ascii="黑体" w:eastAsia="方正小标宋简体"/>
          <w:color w:val="000000"/>
          <w:sz w:val="44"/>
          <w:szCs w:val="44"/>
        </w:rPr>
      </w:pPr>
      <w:r>
        <w:rPr>
          <w:rFonts w:hint="eastAsia" w:ascii="黑体" w:eastAsia="方正小标宋简体"/>
          <w:color w:val="000000"/>
          <w:sz w:val="44"/>
          <w:szCs w:val="44"/>
        </w:rPr>
        <w:t>河南高等教育教学改革研究与实践项目</w:t>
      </w:r>
    </w:p>
    <w:p w14:paraId="06E2B1C7">
      <w:pPr>
        <w:widowControl/>
        <w:jc w:val="center"/>
        <w:rPr>
          <w:rFonts w:hint="default" w:ascii="黑体" w:eastAsia="方正小标宋简体"/>
          <w:color w:val="000000"/>
          <w:spacing w:val="57"/>
          <w:sz w:val="44"/>
          <w:szCs w:val="44"/>
          <w:lang w:val="en-US" w:eastAsia="zh-CN"/>
        </w:rPr>
      </w:pPr>
      <w:r>
        <w:rPr>
          <w:rFonts w:hint="eastAsia" w:ascii="黑体" w:eastAsia="方正小标宋简体"/>
          <w:color w:val="000000"/>
          <w:spacing w:val="57"/>
          <w:sz w:val="44"/>
          <w:szCs w:val="44"/>
          <w:lang w:val="en-US" w:eastAsia="zh-CN"/>
        </w:rPr>
        <w:t>结项报告</w:t>
      </w:r>
      <w:bookmarkStart w:id="111" w:name="_GoBack"/>
      <w:bookmarkEnd w:id="111"/>
    </w:p>
    <w:p w14:paraId="1FCF019E">
      <w:pPr>
        <w:widowControl/>
        <w:jc w:val="center"/>
        <w:rPr>
          <w:rFonts w:ascii="仿宋_GB2312" w:hAnsi="仿宋_GB2312" w:eastAsia="仿宋_GB2312" w:cs="仿宋_GB2312"/>
          <w:b/>
          <w:bCs/>
          <w:color w:val="000000"/>
          <w:kern w:val="0"/>
          <w:sz w:val="44"/>
          <w:szCs w:val="44"/>
          <w:lang w:bidi="ar"/>
        </w:rPr>
      </w:pPr>
    </w:p>
    <w:p w14:paraId="2079C28C">
      <w:pPr>
        <w:widowControl/>
        <w:jc w:val="center"/>
        <w:rPr>
          <w:rFonts w:ascii="仿宋_GB2312" w:hAnsi="仿宋_GB2312" w:eastAsia="仿宋_GB2312" w:cs="仿宋_GB2312"/>
          <w:b/>
          <w:bCs/>
          <w:color w:val="000000"/>
          <w:kern w:val="0"/>
          <w:sz w:val="44"/>
          <w:szCs w:val="44"/>
          <w:lang w:bidi="ar"/>
        </w:rPr>
      </w:pPr>
    </w:p>
    <w:tbl>
      <w:tblPr>
        <w:tblStyle w:val="11"/>
        <w:tblW w:w="0" w:type="auto"/>
        <w:jc w:val="center"/>
        <w:tblLayout w:type="fixed"/>
        <w:tblCellMar>
          <w:top w:w="0" w:type="dxa"/>
          <w:left w:w="28" w:type="dxa"/>
          <w:bottom w:w="0" w:type="dxa"/>
          <w:right w:w="28" w:type="dxa"/>
        </w:tblCellMar>
      </w:tblPr>
      <w:tblGrid>
        <w:gridCol w:w="2700"/>
        <w:gridCol w:w="4429"/>
      </w:tblGrid>
      <w:tr w14:paraId="47CDB718">
        <w:tblPrEx>
          <w:tblCellMar>
            <w:top w:w="0" w:type="dxa"/>
            <w:left w:w="28" w:type="dxa"/>
            <w:bottom w:w="0" w:type="dxa"/>
            <w:right w:w="28" w:type="dxa"/>
          </w:tblCellMar>
        </w:tblPrEx>
        <w:trPr>
          <w:trHeight w:val="822" w:hRule="atLeast"/>
          <w:jc w:val="center"/>
        </w:trPr>
        <w:tc>
          <w:tcPr>
            <w:tcW w:w="2700" w:type="dxa"/>
            <w:noWrap w:val="0"/>
            <w:vAlign w:val="center"/>
          </w:tcPr>
          <w:p w14:paraId="4BDB1B13">
            <w:pPr>
              <w:pStyle w:val="4"/>
              <w:spacing w:before="60" w:after="60"/>
              <w:jc w:val="distribute"/>
              <w:rPr>
                <w:rFonts w:hint="eastAsia"/>
                <w:color w:val="000000"/>
                <w:sz w:val="24"/>
                <w:u w:val="single"/>
              </w:rPr>
            </w:pPr>
            <w:r>
              <w:rPr>
                <w:rFonts w:hint="eastAsia"/>
                <w:color w:val="000000"/>
                <w:sz w:val="24"/>
              </w:rPr>
              <w:t>项 目 编 号</w:t>
            </w:r>
          </w:p>
        </w:tc>
        <w:tc>
          <w:tcPr>
            <w:tcW w:w="4429" w:type="dxa"/>
            <w:tcBorders>
              <w:bottom w:val="single" w:color="auto" w:sz="4" w:space="0"/>
            </w:tcBorders>
            <w:noWrap w:val="0"/>
            <w:vAlign w:val="center"/>
          </w:tcPr>
          <w:p w14:paraId="029AFFF6">
            <w:pPr>
              <w:pStyle w:val="4"/>
              <w:spacing w:before="60" w:after="60" w:line="440" w:lineRule="exact"/>
              <w:jc w:val="center"/>
              <w:rPr>
                <w:rFonts w:hint="eastAsia"/>
                <w:color w:val="000000"/>
                <w:szCs w:val="21"/>
              </w:rPr>
            </w:pPr>
            <w:r>
              <w:rPr>
                <w:color w:val="000000"/>
                <w:szCs w:val="21"/>
              </w:rPr>
              <w:t>2019SJGLX049</w:t>
            </w:r>
          </w:p>
        </w:tc>
      </w:tr>
      <w:tr w14:paraId="03C95438">
        <w:tblPrEx>
          <w:tblCellMar>
            <w:top w:w="0" w:type="dxa"/>
            <w:left w:w="28" w:type="dxa"/>
            <w:bottom w:w="0" w:type="dxa"/>
            <w:right w:w="28" w:type="dxa"/>
          </w:tblCellMar>
        </w:tblPrEx>
        <w:trPr>
          <w:trHeight w:val="823" w:hRule="atLeast"/>
          <w:jc w:val="center"/>
        </w:trPr>
        <w:tc>
          <w:tcPr>
            <w:tcW w:w="2700" w:type="dxa"/>
            <w:noWrap w:val="0"/>
            <w:vAlign w:val="center"/>
          </w:tcPr>
          <w:p w14:paraId="119684B4">
            <w:pPr>
              <w:pStyle w:val="4"/>
              <w:spacing w:before="60" w:after="60"/>
              <w:jc w:val="distribute"/>
              <w:rPr>
                <w:rFonts w:hint="eastAsia"/>
                <w:color w:val="000000"/>
                <w:sz w:val="24"/>
              </w:rPr>
            </w:pPr>
            <w:r>
              <w:rPr>
                <w:rFonts w:hint="eastAsia"/>
                <w:color w:val="000000"/>
                <w:sz w:val="24"/>
              </w:rPr>
              <w:t>项 目 类 别</w:t>
            </w:r>
          </w:p>
        </w:tc>
        <w:tc>
          <w:tcPr>
            <w:tcW w:w="4429" w:type="dxa"/>
            <w:tcBorders>
              <w:top w:val="single" w:color="auto" w:sz="4" w:space="0"/>
              <w:bottom w:val="single" w:color="auto" w:sz="4" w:space="0"/>
            </w:tcBorders>
            <w:noWrap w:val="0"/>
            <w:vAlign w:val="center"/>
          </w:tcPr>
          <w:p w14:paraId="633EFC7D">
            <w:pPr>
              <w:pStyle w:val="4"/>
              <w:spacing w:before="60" w:after="60" w:line="440" w:lineRule="exact"/>
              <w:jc w:val="center"/>
              <w:rPr>
                <w:rFonts w:hint="eastAsia"/>
                <w:color w:val="000000"/>
                <w:szCs w:val="21"/>
              </w:rPr>
            </w:pPr>
            <w:r>
              <w:rPr>
                <w:rFonts w:hint="eastAsia"/>
                <w:color w:val="000000"/>
                <w:szCs w:val="21"/>
              </w:rPr>
              <w:t>产教融合研究与实践</w:t>
            </w:r>
          </w:p>
        </w:tc>
      </w:tr>
      <w:tr w14:paraId="4BA94C05">
        <w:tblPrEx>
          <w:tblCellMar>
            <w:top w:w="0" w:type="dxa"/>
            <w:left w:w="28" w:type="dxa"/>
            <w:bottom w:w="0" w:type="dxa"/>
            <w:right w:w="28" w:type="dxa"/>
          </w:tblCellMar>
        </w:tblPrEx>
        <w:trPr>
          <w:trHeight w:val="823" w:hRule="atLeast"/>
          <w:jc w:val="center"/>
        </w:trPr>
        <w:tc>
          <w:tcPr>
            <w:tcW w:w="2700" w:type="dxa"/>
            <w:noWrap w:val="0"/>
            <w:vAlign w:val="center"/>
          </w:tcPr>
          <w:p w14:paraId="6DF8AD12">
            <w:pPr>
              <w:pStyle w:val="4"/>
              <w:spacing w:before="60" w:after="60"/>
              <w:jc w:val="distribute"/>
              <w:rPr>
                <w:rFonts w:hint="eastAsia"/>
                <w:color w:val="000000"/>
                <w:sz w:val="24"/>
              </w:rPr>
            </w:pPr>
            <w:r>
              <w:rPr>
                <w:rFonts w:hint="eastAsia"/>
                <w:color w:val="000000"/>
                <w:sz w:val="24"/>
              </w:rPr>
              <w:t>项目类型</w:t>
            </w:r>
          </w:p>
        </w:tc>
        <w:tc>
          <w:tcPr>
            <w:tcW w:w="4429" w:type="dxa"/>
            <w:tcBorders>
              <w:top w:val="single" w:color="auto" w:sz="4" w:space="0"/>
              <w:bottom w:val="single" w:color="auto" w:sz="4" w:space="0"/>
            </w:tcBorders>
            <w:noWrap w:val="0"/>
            <w:vAlign w:val="center"/>
          </w:tcPr>
          <w:p w14:paraId="283B782B">
            <w:pPr>
              <w:pStyle w:val="4"/>
              <w:spacing w:before="60" w:after="60" w:line="440" w:lineRule="exact"/>
              <w:jc w:val="center"/>
              <w:rPr>
                <w:rFonts w:hint="eastAsia"/>
                <w:color w:val="000000"/>
                <w:szCs w:val="21"/>
              </w:rPr>
            </w:pPr>
            <w:r>
              <w:rPr>
                <w:rFonts w:hint="eastAsia"/>
                <w:color w:val="000000"/>
                <w:szCs w:val="21"/>
              </w:rPr>
              <w:t>本科教育类</w:t>
            </w:r>
          </w:p>
        </w:tc>
      </w:tr>
      <w:tr w14:paraId="5C1BF0F5">
        <w:tblPrEx>
          <w:tblCellMar>
            <w:top w:w="0" w:type="dxa"/>
            <w:left w:w="28" w:type="dxa"/>
            <w:bottom w:w="0" w:type="dxa"/>
            <w:right w:w="28" w:type="dxa"/>
          </w:tblCellMar>
        </w:tblPrEx>
        <w:trPr>
          <w:trHeight w:val="823" w:hRule="atLeast"/>
          <w:jc w:val="center"/>
        </w:trPr>
        <w:tc>
          <w:tcPr>
            <w:tcW w:w="2700" w:type="dxa"/>
            <w:noWrap w:val="0"/>
            <w:vAlign w:val="center"/>
          </w:tcPr>
          <w:p w14:paraId="0AF9637A">
            <w:pPr>
              <w:pStyle w:val="4"/>
              <w:spacing w:before="60" w:after="60"/>
              <w:jc w:val="distribute"/>
              <w:rPr>
                <w:rFonts w:hint="eastAsia"/>
                <w:color w:val="000000"/>
                <w:sz w:val="24"/>
              </w:rPr>
            </w:pPr>
            <w:r>
              <w:rPr>
                <w:rFonts w:hint="eastAsia"/>
                <w:color w:val="000000"/>
                <w:sz w:val="24"/>
              </w:rPr>
              <w:t>项 目 名 称</w:t>
            </w:r>
          </w:p>
        </w:tc>
        <w:tc>
          <w:tcPr>
            <w:tcW w:w="4429" w:type="dxa"/>
            <w:tcBorders>
              <w:top w:val="single" w:color="auto" w:sz="4" w:space="0"/>
              <w:bottom w:val="single" w:color="auto" w:sz="4" w:space="0"/>
            </w:tcBorders>
            <w:noWrap w:val="0"/>
            <w:vAlign w:val="center"/>
          </w:tcPr>
          <w:p w14:paraId="51E632F6">
            <w:pPr>
              <w:pStyle w:val="4"/>
              <w:spacing w:before="60" w:after="60" w:line="440" w:lineRule="exact"/>
              <w:jc w:val="center"/>
              <w:rPr>
                <w:rFonts w:hint="eastAsia"/>
                <w:color w:val="000000"/>
                <w:szCs w:val="21"/>
              </w:rPr>
            </w:pPr>
            <w:r>
              <w:rPr>
                <w:rFonts w:hint="eastAsia"/>
                <w:color w:val="000000"/>
                <w:szCs w:val="21"/>
              </w:rPr>
              <w:t>区域特色骨干大学产教融合研究与实践</w:t>
            </w:r>
          </w:p>
        </w:tc>
      </w:tr>
      <w:tr w14:paraId="11F4D4C2">
        <w:tblPrEx>
          <w:tblCellMar>
            <w:top w:w="0" w:type="dxa"/>
            <w:left w:w="28" w:type="dxa"/>
            <w:bottom w:w="0" w:type="dxa"/>
            <w:right w:w="28" w:type="dxa"/>
          </w:tblCellMar>
        </w:tblPrEx>
        <w:trPr>
          <w:trHeight w:val="823" w:hRule="atLeast"/>
          <w:jc w:val="center"/>
        </w:trPr>
        <w:tc>
          <w:tcPr>
            <w:tcW w:w="2700" w:type="dxa"/>
            <w:noWrap w:val="0"/>
            <w:vAlign w:val="center"/>
          </w:tcPr>
          <w:p w14:paraId="79C2A597">
            <w:pPr>
              <w:pStyle w:val="4"/>
              <w:spacing w:before="60" w:after="60"/>
              <w:jc w:val="distribute"/>
              <w:rPr>
                <w:rFonts w:hint="eastAsia"/>
                <w:color w:val="000000"/>
                <w:sz w:val="24"/>
              </w:rPr>
            </w:pPr>
            <w:r>
              <w:rPr>
                <w:rFonts w:hint="eastAsia"/>
                <w:color w:val="000000"/>
                <w:sz w:val="24"/>
              </w:rPr>
              <w:t>项目主持人</w:t>
            </w:r>
          </w:p>
        </w:tc>
        <w:tc>
          <w:tcPr>
            <w:tcW w:w="4429" w:type="dxa"/>
            <w:tcBorders>
              <w:top w:val="single" w:color="auto" w:sz="4" w:space="0"/>
              <w:bottom w:val="single" w:color="auto" w:sz="4" w:space="0"/>
            </w:tcBorders>
            <w:noWrap w:val="0"/>
            <w:vAlign w:val="center"/>
          </w:tcPr>
          <w:p w14:paraId="6C0199AE">
            <w:pPr>
              <w:pStyle w:val="4"/>
              <w:spacing w:before="60" w:after="60" w:line="440" w:lineRule="exact"/>
              <w:jc w:val="center"/>
              <w:rPr>
                <w:rFonts w:hint="eastAsia"/>
                <w:color w:val="000000"/>
                <w:szCs w:val="21"/>
              </w:rPr>
            </w:pPr>
            <w:r>
              <w:rPr>
                <w:rFonts w:hint="eastAsia"/>
                <w:color w:val="000000"/>
                <w:szCs w:val="21"/>
              </w:rPr>
              <w:t>尚富德</w:t>
            </w:r>
          </w:p>
        </w:tc>
      </w:tr>
      <w:tr w14:paraId="3AE9737E">
        <w:tblPrEx>
          <w:tblCellMar>
            <w:top w:w="0" w:type="dxa"/>
            <w:left w:w="28" w:type="dxa"/>
            <w:bottom w:w="0" w:type="dxa"/>
            <w:right w:w="28" w:type="dxa"/>
          </w:tblCellMar>
        </w:tblPrEx>
        <w:trPr>
          <w:trHeight w:val="823" w:hRule="atLeast"/>
          <w:jc w:val="center"/>
        </w:trPr>
        <w:tc>
          <w:tcPr>
            <w:tcW w:w="2700" w:type="dxa"/>
            <w:noWrap w:val="0"/>
            <w:vAlign w:val="center"/>
          </w:tcPr>
          <w:p w14:paraId="4AD268CC">
            <w:pPr>
              <w:pStyle w:val="4"/>
              <w:spacing w:before="60" w:after="60"/>
              <w:jc w:val="distribute"/>
              <w:rPr>
                <w:rFonts w:hint="eastAsia"/>
                <w:color w:val="000000"/>
                <w:sz w:val="24"/>
              </w:rPr>
            </w:pPr>
            <w:r>
              <w:rPr>
                <w:rFonts w:hint="eastAsia"/>
                <w:color w:val="000000"/>
                <w:sz w:val="24"/>
              </w:rPr>
              <w:t>联 系 电 话</w:t>
            </w:r>
          </w:p>
        </w:tc>
        <w:tc>
          <w:tcPr>
            <w:tcW w:w="4429" w:type="dxa"/>
            <w:tcBorders>
              <w:top w:val="single" w:color="auto" w:sz="4" w:space="0"/>
              <w:bottom w:val="single" w:color="auto" w:sz="4" w:space="0"/>
            </w:tcBorders>
            <w:noWrap w:val="0"/>
            <w:vAlign w:val="center"/>
          </w:tcPr>
          <w:p w14:paraId="361FE372">
            <w:pPr>
              <w:pStyle w:val="4"/>
              <w:spacing w:before="60" w:after="60" w:line="440" w:lineRule="exact"/>
              <w:jc w:val="center"/>
              <w:rPr>
                <w:rFonts w:hint="eastAsia"/>
                <w:color w:val="000000"/>
                <w:szCs w:val="21"/>
              </w:rPr>
            </w:pPr>
            <w:r>
              <w:rPr>
                <w:rFonts w:hint="eastAsia"/>
                <w:color w:val="000000"/>
                <w:szCs w:val="21"/>
              </w:rPr>
              <w:t>13633806029</w:t>
            </w:r>
          </w:p>
        </w:tc>
      </w:tr>
      <w:tr w14:paraId="7F26DEA7">
        <w:tblPrEx>
          <w:tblCellMar>
            <w:top w:w="0" w:type="dxa"/>
            <w:left w:w="28" w:type="dxa"/>
            <w:bottom w:w="0" w:type="dxa"/>
            <w:right w:w="28" w:type="dxa"/>
          </w:tblCellMar>
        </w:tblPrEx>
        <w:trPr>
          <w:trHeight w:val="823" w:hRule="atLeast"/>
          <w:jc w:val="center"/>
        </w:trPr>
        <w:tc>
          <w:tcPr>
            <w:tcW w:w="2700" w:type="dxa"/>
            <w:noWrap w:val="0"/>
            <w:vAlign w:val="center"/>
          </w:tcPr>
          <w:p w14:paraId="518DE1BC">
            <w:pPr>
              <w:pStyle w:val="4"/>
              <w:spacing w:before="60" w:after="60"/>
              <w:jc w:val="distribute"/>
              <w:rPr>
                <w:rFonts w:hint="eastAsia"/>
                <w:color w:val="000000"/>
                <w:sz w:val="24"/>
              </w:rPr>
            </w:pPr>
            <w:r>
              <w:rPr>
                <w:rFonts w:hint="eastAsia"/>
                <w:color w:val="000000"/>
                <w:sz w:val="24"/>
              </w:rPr>
              <w:t>项 目 成 员</w:t>
            </w:r>
          </w:p>
        </w:tc>
        <w:tc>
          <w:tcPr>
            <w:tcW w:w="4429" w:type="dxa"/>
            <w:tcBorders>
              <w:top w:val="single" w:color="auto" w:sz="4" w:space="0"/>
              <w:bottom w:val="single" w:color="auto" w:sz="4" w:space="0"/>
            </w:tcBorders>
            <w:noWrap w:val="0"/>
            <w:vAlign w:val="center"/>
          </w:tcPr>
          <w:p w14:paraId="142ACA54">
            <w:pPr>
              <w:pStyle w:val="4"/>
              <w:spacing w:before="60" w:after="60" w:line="440" w:lineRule="exact"/>
              <w:rPr>
                <w:color w:val="000000"/>
                <w:szCs w:val="21"/>
              </w:rPr>
            </w:pPr>
            <w:r>
              <w:rPr>
                <w:rFonts w:hint="eastAsia"/>
                <w:color w:val="000000"/>
                <w:szCs w:val="21"/>
              </w:rPr>
              <w:t xml:space="preserve">邓俊锋 张朝阳 杨 </w:t>
            </w:r>
            <w:r>
              <w:rPr>
                <w:color w:val="000000"/>
                <w:szCs w:val="21"/>
              </w:rPr>
              <w:t xml:space="preserve"> </w:t>
            </w:r>
            <w:r>
              <w:rPr>
                <w:rFonts w:hint="eastAsia"/>
                <w:color w:val="000000"/>
                <w:szCs w:val="21"/>
              </w:rPr>
              <w:t>浩 薛万新</w:t>
            </w:r>
          </w:p>
          <w:p w14:paraId="75444142">
            <w:pPr>
              <w:pStyle w:val="4"/>
              <w:spacing w:before="60" w:after="60" w:line="440" w:lineRule="exact"/>
              <w:rPr>
                <w:rFonts w:hint="eastAsia"/>
                <w:color w:val="000000"/>
                <w:szCs w:val="21"/>
              </w:rPr>
            </w:pPr>
            <w:r>
              <w:rPr>
                <w:rFonts w:hint="eastAsia"/>
                <w:color w:val="000000"/>
                <w:szCs w:val="21"/>
              </w:rPr>
              <w:t xml:space="preserve">侯小改 李春丽 胡选振 石永春 沈 </w:t>
            </w:r>
            <w:r>
              <w:rPr>
                <w:color w:val="000000"/>
                <w:szCs w:val="21"/>
              </w:rPr>
              <w:t xml:space="preserve"> </w:t>
            </w:r>
            <w:r>
              <w:rPr>
                <w:rFonts w:hint="eastAsia"/>
                <w:color w:val="000000"/>
                <w:szCs w:val="21"/>
              </w:rPr>
              <w:t>蔚</w:t>
            </w:r>
          </w:p>
        </w:tc>
      </w:tr>
      <w:tr w14:paraId="7B6CA18D">
        <w:tblPrEx>
          <w:tblCellMar>
            <w:top w:w="0" w:type="dxa"/>
            <w:left w:w="28" w:type="dxa"/>
            <w:bottom w:w="0" w:type="dxa"/>
            <w:right w:w="28" w:type="dxa"/>
          </w:tblCellMar>
        </w:tblPrEx>
        <w:trPr>
          <w:trHeight w:val="823" w:hRule="atLeast"/>
          <w:jc w:val="center"/>
        </w:trPr>
        <w:tc>
          <w:tcPr>
            <w:tcW w:w="2700" w:type="dxa"/>
            <w:noWrap w:val="0"/>
            <w:vAlign w:val="center"/>
          </w:tcPr>
          <w:p w14:paraId="66EA60DC">
            <w:pPr>
              <w:pStyle w:val="4"/>
              <w:spacing w:before="60" w:after="60"/>
              <w:jc w:val="distribute"/>
              <w:rPr>
                <w:rFonts w:hint="eastAsia"/>
                <w:color w:val="000000"/>
                <w:sz w:val="24"/>
              </w:rPr>
            </w:pPr>
            <w:r>
              <w:rPr>
                <w:rFonts w:hint="eastAsia"/>
                <w:color w:val="000000"/>
                <w:sz w:val="24"/>
              </w:rPr>
              <w:t>完成单位（盖章）</w:t>
            </w:r>
          </w:p>
        </w:tc>
        <w:tc>
          <w:tcPr>
            <w:tcW w:w="4429" w:type="dxa"/>
            <w:tcBorders>
              <w:bottom w:val="single" w:color="auto" w:sz="4" w:space="0"/>
            </w:tcBorders>
            <w:noWrap w:val="0"/>
            <w:vAlign w:val="center"/>
          </w:tcPr>
          <w:p w14:paraId="0118E1A6">
            <w:pPr>
              <w:pStyle w:val="4"/>
              <w:spacing w:before="60" w:after="60" w:line="440" w:lineRule="exact"/>
              <w:jc w:val="center"/>
              <w:rPr>
                <w:rFonts w:hint="eastAsia"/>
                <w:color w:val="000000"/>
                <w:szCs w:val="21"/>
              </w:rPr>
            </w:pPr>
            <w:r>
              <w:rPr>
                <w:rFonts w:hint="eastAsia"/>
                <w:color w:val="000000"/>
                <w:szCs w:val="21"/>
              </w:rPr>
              <w:t>河南农业大学，河南师范大学，河南科技大学</w:t>
            </w:r>
          </w:p>
        </w:tc>
      </w:tr>
    </w:tbl>
    <w:p w14:paraId="4F50F86D">
      <w:pPr>
        <w:widowControl/>
        <w:jc w:val="center"/>
        <w:rPr>
          <w:rFonts w:hint="eastAsia" w:ascii="仿宋_GB2312" w:hAnsi="仿宋_GB2312" w:eastAsia="仿宋_GB2312" w:cs="仿宋_GB2312"/>
          <w:b/>
          <w:bCs/>
          <w:color w:val="000000"/>
          <w:kern w:val="0"/>
          <w:sz w:val="44"/>
          <w:szCs w:val="44"/>
          <w:lang w:bidi="ar"/>
        </w:rPr>
      </w:pPr>
    </w:p>
    <w:p w14:paraId="0751D10A">
      <w:pPr>
        <w:widowControl/>
        <w:jc w:val="center"/>
        <w:rPr>
          <w:rFonts w:ascii="仿宋_GB2312" w:hAnsi="仿宋_GB2312" w:eastAsia="仿宋_GB2312" w:cs="仿宋_GB2312"/>
          <w:b/>
          <w:bCs/>
          <w:color w:val="000000"/>
          <w:kern w:val="0"/>
          <w:sz w:val="44"/>
          <w:szCs w:val="44"/>
          <w:lang w:bidi="ar"/>
        </w:rPr>
      </w:pPr>
    </w:p>
    <w:p w14:paraId="51DDF32D">
      <w:pPr>
        <w:pStyle w:val="4"/>
        <w:jc w:val="center"/>
        <w:rPr>
          <w:rFonts w:hint="eastAsia" w:ascii="楷体_GB2312" w:eastAsia="楷体_GB2312"/>
          <w:color w:val="000000"/>
          <w:sz w:val="32"/>
          <w:szCs w:val="32"/>
        </w:rPr>
      </w:pPr>
      <w:r>
        <w:rPr>
          <w:rFonts w:hint="eastAsia" w:ascii="楷体_GB2312" w:eastAsia="楷体_GB2312"/>
          <w:color w:val="000000"/>
          <w:sz w:val="32"/>
          <w:szCs w:val="32"/>
        </w:rPr>
        <w:t>河 南 省 教 育 厅 制</w:t>
      </w:r>
    </w:p>
    <w:p w14:paraId="1FAA9F8A">
      <w:pPr>
        <w:rPr>
          <w:rFonts w:hint="eastAsia" w:ascii="黑体" w:hAnsi="黑体" w:eastAsia="黑体" w:cs="黑体"/>
          <w:b/>
          <w:sz w:val="32"/>
          <w:szCs w:val="32"/>
          <w:lang w:val="en-US" w:eastAsia="zh-CN"/>
        </w:rPr>
        <w:sectPr>
          <w:pgSz w:w="11906" w:h="16838"/>
          <w:pgMar w:top="1440" w:right="1803" w:bottom="1440" w:left="1803" w:header="794" w:footer="907" w:gutter="0"/>
          <w:cols w:space="0" w:num="1"/>
          <w:docGrid w:type="lines" w:linePitch="312" w:charSpace="0"/>
        </w:sectPr>
      </w:pPr>
    </w:p>
    <w:p w14:paraId="6BE29835">
      <w:pPr>
        <w:rPr>
          <w:rFonts w:hint="eastAsia" w:ascii="黑体" w:hAnsi="黑体" w:eastAsia="黑体" w:cs="黑体"/>
          <w:b/>
          <w:sz w:val="32"/>
          <w:szCs w:val="32"/>
          <w:lang w:val="en-US" w:eastAsia="zh-CN"/>
        </w:rPr>
      </w:pPr>
    </w:p>
    <w:p w14:paraId="72E32093">
      <w:pPr>
        <w:rPr>
          <w:rFonts w:hint="eastAsia" w:ascii="黑体" w:hAnsi="黑体" w:eastAsia="黑体" w:cs="黑体"/>
          <w:b/>
          <w:sz w:val="32"/>
          <w:szCs w:val="32"/>
          <w:lang w:val="en-US" w:eastAsia="zh-CN"/>
        </w:rPr>
      </w:pPr>
    </w:p>
    <w:p w14:paraId="11300A07">
      <w:pPr>
        <w:rPr>
          <w:rFonts w:hint="eastAsia" w:ascii="黑体" w:hAnsi="黑体" w:eastAsia="黑体" w:cs="黑体"/>
          <w:b/>
          <w:sz w:val="32"/>
          <w:szCs w:val="32"/>
          <w:lang w:val="en-US" w:eastAsia="zh-CN"/>
        </w:rPr>
      </w:pPr>
    </w:p>
    <w:p w14:paraId="08653770">
      <w:pPr>
        <w:jc w:val="center"/>
        <w:rPr>
          <w:rFonts w:hint="eastAsia" w:ascii="方正小标宋简体" w:hAnsi="方正小标宋简体" w:eastAsia="方正小标宋简体" w:cs="方正小标宋简体"/>
          <w:b w:val="0"/>
          <w:bCs/>
          <w:sz w:val="44"/>
          <w:szCs w:val="44"/>
          <w:lang w:val="en-US" w:eastAsia="zh-CN"/>
        </w:rPr>
      </w:pPr>
    </w:p>
    <w:p w14:paraId="7E01F262">
      <w:pPr>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lang w:val="en-US" w:eastAsia="zh-CN"/>
        </w:rPr>
        <w:t>项目结项</w:t>
      </w:r>
      <w:r>
        <w:rPr>
          <w:rFonts w:hint="eastAsia" w:ascii="方正小标宋简体" w:hAnsi="方正小标宋简体" w:eastAsia="方正小标宋简体" w:cs="方正小标宋简体"/>
          <w:b w:val="0"/>
          <w:bCs/>
          <w:sz w:val="44"/>
          <w:szCs w:val="44"/>
        </w:rPr>
        <w:t>报告</w:t>
      </w:r>
    </w:p>
    <w:p w14:paraId="59E72A80">
      <w:pPr>
        <w:pStyle w:val="17"/>
        <w:jc w:val="center"/>
        <w:rPr>
          <w:rFonts w:ascii="仿宋_GB2312" w:hAnsi="仿宋_GB2312" w:eastAsia="仿宋_GB2312" w:cs="仿宋_GB2312"/>
          <w:b/>
          <w:bCs/>
          <w:color w:val="000000"/>
          <w:kern w:val="0"/>
          <w:sz w:val="44"/>
          <w:szCs w:val="44"/>
          <w:lang w:bidi="ar"/>
        </w:rPr>
      </w:pPr>
      <w:r>
        <w:rPr>
          <w:rFonts w:ascii="仿宋_GB2312" w:hAnsi="仿宋_GB2312" w:eastAsia="仿宋_GB2312" w:cs="仿宋_GB2312"/>
          <w:b/>
          <w:bCs/>
          <w:color w:val="000000"/>
          <w:kern w:val="0"/>
          <w:sz w:val="44"/>
          <w:szCs w:val="44"/>
          <w:lang w:bidi="ar"/>
        </w:rPr>
        <w:br w:type="page"/>
      </w:r>
    </w:p>
    <w:sdt>
      <w:sdtPr>
        <w:rPr>
          <w:rFonts w:asciiTheme="minorHAnsi" w:hAnsiTheme="minorHAnsi" w:eastAsiaTheme="minorEastAsia" w:cstheme="minorBidi"/>
          <w:color w:val="auto"/>
          <w:kern w:val="2"/>
          <w:sz w:val="21"/>
          <w:szCs w:val="24"/>
          <w:lang w:val="zh-CN"/>
        </w:rPr>
        <w:id w:val="1841197184"/>
        <w:showingPlcHdr/>
        <w:docPartObj>
          <w:docPartGallery w:val="Table of Contents"/>
          <w:docPartUnique/>
        </w:docPartObj>
      </w:sdtPr>
      <w:sdtEndPr>
        <w:rPr>
          <w:rFonts w:asciiTheme="minorHAnsi" w:hAnsiTheme="minorHAnsi" w:eastAsiaTheme="minorEastAsia" w:cstheme="minorBidi"/>
          <w:b/>
          <w:bCs/>
          <w:color w:val="auto"/>
          <w:kern w:val="2"/>
          <w:sz w:val="21"/>
          <w:szCs w:val="24"/>
          <w:lang w:val="zh-CN"/>
        </w:rPr>
      </w:sdtEndPr>
      <w:sdtContent>
        <w:p w14:paraId="0D5C5664">
          <w:pPr>
            <w:rPr>
              <w:rFonts w:ascii="仿宋_GB2312" w:hAnsi="仿宋_GB2312" w:eastAsia="仿宋_GB2312" w:cs="仿宋_GB2312"/>
              <w:b/>
              <w:bCs/>
              <w:color w:val="000000"/>
              <w:kern w:val="0"/>
              <w:sz w:val="44"/>
              <w:szCs w:val="44"/>
              <w:lang w:bidi="ar"/>
            </w:rPr>
          </w:pPr>
        </w:p>
      </w:sdtContent>
    </w:sdt>
    <w:p w14:paraId="6623E95D">
      <w:pPr>
        <w:jc w:val="center"/>
        <w:rPr>
          <w:rFonts w:hint="eastAsia" w:asciiTheme="majorHAnsi" w:hAnsiTheme="majorHAnsi" w:eastAsiaTheme="majorEastAsia" w:cstheme="majorBidi"/>
          <w:b/>
          <w:bCs/>
          <w:color w:val="2E54A1" w:themeColor="accent1" w:themeShade="BF"/>
          <w:kern w:val="0"/>
          <w:sz w:val="44"/>
          <w:szCs w:val="44"/>
          <w:lang w:val="en-US" w:eastAsia="zh-CN" w:bidi="ar-SA"/>
        </w:rPr>
      </w:pPr>
      <w:r>
        <w:rPr>
          <w:rFonts w:hint="eastAsia" w:asciiTheme="majorHAnsi" w:hAnsiTheme="majorHAnsi" w:eastAsiaTheme="majorEastAsia" w:cstheme="majorBidi"/>
          <w:b/>
          <w:bCs/>
          <w:color w:val="2E54A1" w:themeColor="accent1" w:themeShade="BF"/>
          <w:kern w:val="0"/>
          <w:sz w:val="44"/>
          <w:szCs w:val="44"/>
          <w:lang w:val="en-US" w:eastAsia="zh-CN" w:bidi="ar-SA"/>
        </w:rPr>
        <w:t>目录</w:t>
      </w:r>
    </w:p>
    <w:p w14:paraId="68909619">
      <w:pPr>
        <w:pStyle w:val="10"/>
        <w:tabs>
          <w:tab w:val="right" w:leader="dot" w:pos="8306"/>
        </w:tabs>
        <w:rPr>
          <w:rFonts w:hint="default" w:ascii="Times New Roman" w:hAnsi="Times New Roman" w:cs="Times New Roman" w:eastAsiaTheme="minorEastAsia"/>
          <w:b/>
          <w:bCs/>
          <w:kern w:val="0"/>
          <w:sz w:val="28"/>
          <w:szCs w:val="28"/>
          <w:lang w:val="zh-CN" w:eastAsia="zh-CN" w:bidi="ar-SA"/>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TOC \o "1-3" \h \u </w:instrText>
      </w:r>
      <w:r>
        <w:rPr>
          <w:rFonts w:hint="default" w:ascii="Times New Roman" w:hAnsi="Times New Roman" w:cs="Times New Roman"/>
          <w:bCs/>
          <w:lang w:val="zh-CN"/>
        </w:rPr>
        <w:fldChar w:fldCharType="separate"/>
      </w:r>
      <w:r>
        <w:rPr>
          <w:rFonts w:hint="default" w:ascii="Times New Roman" w:hAnsi="Times New Roman" w:cs="Times New Roman" w:eastAsiaTheme="minorEastAsia"/>
          <w:b/>
          <w:bCs/>
          <w:kern w:val="0"/>
          <w:sz w:val="28"/>
          <w:szCs w:val="28"/>
          <w:lang w:val="zh-CN" w:eastAsia="zh-CN" w:bidi="ar-SA"/>
        </w:rPr>
        <w:fldChar w:fldCharType="begin"/>
      </w:r>
      <w:r>
        <w:rPr>
          <w:rFonts w:hint="default" w:ascii="Times New Roman" w:hAnsi="Times New Roman" w:cs="Times New Roman" w:eastAsiaTheme="minorEastAsia"/>
          <w:b/>
          <w:bCs/>
          <w:kern w:val="0"/>
          <w:sz w:val="28"/>
          <w:szCs w:val="28"/>
          <w:lang w:val="zh-CN" w:eastAsia="zh-CN" w:bidi="ar-SA"/>
        </w:rPr>
        <w:instrText xml:space="preserve"> HYPERLINK \l _Toc28830 </w:instrText>
      </w:r>
      <w:r>
        <w:rPr>
          <w:rFonts w:hint="default" w:ascii="Times New Roman" w:hAnsi="Times New Roman" w:cs="Times New Roman" w:eastAsiaTheme="minorEastAsia"/>
          <w:b/>
          <w:bCs/>
          <w:kern w:val="0"/>
          <w:sz w:val="28"/>
          <w:szCs w:val="28"/>
          <w:lang w:val="zh-CN" w:eastAsia="zh-CN" w:bidi="ar-SA"/>
        </w:rPr>
        <w:fldChar w:fldCharType="separate"/>
      </w:r>
      <w:r>
        <w:rPr>
          <w:rFonts w:hint="default" w:ascii="Times New Roman" w:hAnsi="Times New Roman" w:cs="Times New Roman" w:eastAsiaTheme="minorEastAsia"/>
          <w:b/>
          <w:bCs/>
          <w:kern w:val="0"/>
          <w:sz w:val="28"/>
          <w:szCs w:val="28"/>
          <w:lang w:val="en-US" w:eastAsia="zh-CN" w:bidi="ar-SA"/>
        </w:rPr>
        <w:t>1.绪论</w:t>
      </w:r>
      <w:r>
        <w:rPr>
          <w:rFonts w:hint="default" w:ascii="Times New Roman" w:hAnsi="Times New Roman" w:cs="Times New Roman" w:eastAsiaTheme="minorEastAsia"/>
          <w:b/>
          <w:bCs/>
          <w:kern w:val="0"/>
          <w:sz w:val="28"/>
          <w:szCs w:val="28"/>
          <w:lang w:val="zh-CN" w:eastAsia="zh-CN" w:bidi="ar-SA"/>
        </w:rPr>
        <w:tab/>
      </w:r>
      <w:r>
        <w:rPr>
          <w:rFonts w:hint="default" w:ascii="Times New Roman" w:hAnsi="Times New Roman" w:cs="Times New Roman" w:eastAsiaTheme="minorEastAsia"/>
          <w:b/>
          <w:bCs/>
          <w:kern w:val="0"/>
          <w:sz w:val="28"/>
          <w:szCs w:val="28"/>
          <w:lang w:val="zh-CN" w:eastAsia="zh-CN" w:bidi="ar-SA"/>
        </w:rPr>
        <w:fldChar w:fldCharType="begin"/>
      </w:r>
      <w:r>
        <w:rPr>
          <w:rFonts w:hint="default" w:ascii="Times New Roman" w:hAnsi="Times New Roman" w:cs="Times New Roman" w:eastAsiaTheme="minorEastAsia"/>
          <w:b/>
          <w:bCs/>
          <w:kern w:val="0"/>
          <w:sz w:val="28"/>
          <w:szCs w:val="28"/>
          <w:lang w:val="zh-CN" w:eastAsia="zh-CN" w:bidi="ar-SA"/>
        </w:rPr>
        <w:instrText xml:space="preserve"> PAGEREF _Toc28830 \h </w:instrText>
      </w:r>
      <w:r>
        <w:rPr>
          <w:rFonts w:hint="default" w:ascii="Times New Roman" w:hAnsi="Times New Roman" w:cs="Times New Roman" w:eastAsiaTheme="minorEastAsia"/>
          <w:b/>
          <w:bCs/>
          <w:kern w:val="0"/>
          <w:sz w:val="28"/>
          <w:szCs w:val="28"/>
          <w:lang w:val="zh-CN" w:eastAsia="zh-CN" w:bidi="ar-SA"/>
        </w:rPr>
        <w:fldChar w:fldCharType="separate"/>
      </w:r>
      <w:r>
        <w:rPr>
          <w:rFonts w:hint="default" w:ascii="Times New Roman" w:hAnsi="Times New Roman" w:cs="Times New Roman" w:eastAsiaTheme="minorEastAsia"/>
          <w:b/>
          <w:bCs/>
          <w:kern w:val="0"/>
          <w:sz w:val="28"/>
          <w:szCs w:val="28"/>
          <w:lang w:val="zh-CN" w:eastAsia="zh-CN" w:bidi="ar-SA"/>
        </w:rPr>
        <w:t>4</w:t>
      </w:r>
      <w:r>
        <w:rPr>
          <w:rFonts w:hint="default" w:ascii="Times New Roman" w:hAnsi="Times New Roman" w:cs="Times New Roman" w:eastAsiaTheme="minorEastAsia"/>
          <w:b/>
          <w:bCs/>
          <w:kern w:val="0"/>
          <w:sz w:val="28"/>
          <w:szCs w:val="28"/>
          <w:lang w:val="zh-CN" w:eastAsia="zh-CN" w:bidi="ar-SA"/>
        </w:rPr>
        <w:fldChar w:fldCharType="end"/>
      </w:r>
      <w:r>
        <w:rPr>
          <w:rFonts w:hint="default" w:ascii="Times New Roman" w:hAnsi="Times New Roman" w:cs="Times New Roman" w:eastAsiaTheme="minorEastAsia"/>
          <w:b/>
          <w:bCs/>
          <w:kern w:val="0"/>
          <w:sz w:val="28"/>
          <w:szCs w:val="28"/>
          <w:lang w:val="zh-CN" w:eastAsia="zh-CN" w:bidi="ar-SA"/>
        </w:rPr>
        <w:fldChar w:fldCharType="end"/>
      </w:r>
    </w:p>
    <w:p w14:paraId="4D8E37F8">
      <w:pPr>
        <w:pStyle w:val="10"/>
        <w:tabs>
          <w:tab w:val="right" w:leader="dot" w:pos="8306"/>
        </w:tabs>
        <w:rPr>
          <w:rFonts w:hint="default" w:ascii="Times New Roman" w:hAnsi="Times New Roman" w:cs="Times New Roman" w:eastAsiaTheme="minorEastAsia"/>
          <w:b/>
          <w:bCs/>
          <w:kern w:val="0"/>
          <w:sz w:val="28"/>
          <w:szCs w:val="28"/>
          <w:lang w:val="zh-CN" w:eastAsia="zh-CN" w:bidi="ar-SA"/>
        </w:rPr>
      </w:pPr>
      <w:r>
        <w:rPr>
          <w:rFonts w:hint="default" w:ascii="Times New Roman" w:hAnsi="Times New Roman" w:cs="Times New Roman" w:eastAsiaTheme="minorEastAsia"/>
          <w:b/>
          <w:bCs/>
          <w:kern w:val="0"/>
          <w:sz w:val="28"/>
          <w:szCs w:val="28"/>
          <w:lang w:val="zh-CN" w:eastAsia="zh-CN" w:bidi="ar-SA"/>
        </w:rPr>
        <w:fldChar w:fldCharType="begin"/>
      </w:r>
      <w:r>
        <w:rPr>
          <w:rFonts w:hint="default" w:ascii="Times New Roman" w:hAnsi="Times New Roman" w:cs="Times New Roman" w:eastAsiaTheme="minorEastAsia"/>
          <w:b/>
          <w:bCs/>
          <w:kern w:val="0"/>
          <w:sz w:val="28"/>
          <w:szCs w:val="28"/>
          <w:lang w:val="zh-CN" w:eastAsia="zh-CN" w:bidi="ar-SA"/>
        </w:rPr>
        <w:instrText xml:space="preserve"> HYPERLINK \l _Toc28825 </w:instrText>
      </w:r>
      <w:r>
        <w:rPr>
          <w:rFonts w:hint="default" w:ascii="Times New Roman" w:hAnsi="Times New Roman" w:cs="Times New Roman" w:eastAsiaTheme="minorEastAsia"/>
          <w:b/>
          <w:bCs/>
          <w:kern w:val="0"/>
          <w:sz w:val="28"/>
          <w:szCs w:val="28"/>
          <w:lang w:val="zh-CN" w:eastAsia="zh-CN" w:bidi="ar-SA"/>
        </w:rPr>
        <w:fldChar w:fldCharType="separate"/>
      </w:r>
      <w:r>
        <w:rPr>
          <w:rFonts w:hint="default" w:ascii="Times New Roman" w:hAnsi="Times New Roman" w:cs="Times New Roman" w:eastAsiaTheme="minorEastAsia"/>
          <w:b/>
          <w:bCs/>
          <w:kern w:val="0"/>
          <w:sz w:val="28"/>
          <w:szCs w:val="28"/>
          <w:lang w:val="zh-CN" w:eastAsia="zh-CN" w:bidi="ar-SA"/>
        </w:rPr>
        <w:t>2.区域特色骨干大学产教融合的</w:t>
      </w:r>
      <w:r>
        <w:rPr>
          <w:rFonts w:hint="default" w:ascii="Times New Roman" w:hAnsi="Times New Roman" w:cs="Times New Roman" w:eastAsiaTheme="minorEastAsia"/>
          <w:b/>
          <w:bCs/>
          <w:kern w:val="0"/>
          <w:sz w:val="28"/>
          <w:szCs w:val="28"/>
          <w:lang w:val="en-US" w:eastAsia="zh-CN" w:bidi="ar-SA"/>
        </w:rPr>
        <w:t>措施</w:t>
      </w:r>
      <w:r>
        <w:rPr>
          <w:rFonts w:hint="default" w:ascii="Times New Roman" w:hAnsi="Times New Roman" w:cs="Times New Roman" w:eastAsiaTheme="minorEastAsia"/>
          <w:b/>
          <w:bCs/>
          <w:kern w:val="0"/>
          <w:sz w:val="28"/>
          <w:szCs w:val="28"/>
          <w:lang w:val="zh-CN" w:eastAsia="zh-CN" w:bidi="ar-SA"/>
        </w:rPr>
        <w:tab/>
      </w:r>
      <w:r>
        <w:rPr>
          <w:rFonts w:hint="default" w:ascii="Times New Roman" w:hAnsi="Times New Roman" w:cs="Times New Roman" w:eastAsiaTheme="minorEastAsia"/>
          <w:b/>
          <w:bCs/>
          <w:kern w:val="0"/>
          <w:sz w:val="28"/>
          <w:szCs w:val="28"/>
          <w:lang w:val="zh-CN" w:eastAsia="zh-CN" w:bidi="ar-SA"/>
        </w:rPr>
        <w:fldChar w:fldCharType="begin"/>
      </w:r>
      <w:r>
        <w:rPr>
          <w:rFonts w:hint="default" w:ascii="Times New Roman" w:hAnsi="Times New Roman" w:cs="Times New Roman" w:eastAsiaTheme="minorEastAsia"/>
          <w:b/>
          <w:bCs/>
          <w:kern w:val="0"/>
          <w:sz w:val="28"/>
          <w:szCs w:val="28"/>
          <w:lang w:val="zh-CN" w:eastAsia="zh-CN" w:bidi="ar-SA"/>
        </w:rPr>
        <w:instrText xml:space="preserve"> PAGEREF _Toc28825 \h </w:instrText>
      </w:r>
      <w:r>
        <w:rPr>
          <w:rFonts w:hint="default" w:ascii="Times New Roman" w:hAnsi="Times New Roman" w:cs="Times New Roman" w:eastAsiaTheme="minorEastAsia"/>
          <w:b/>
          <w:bCs/>
          <w:kern w:val="0"/>
          <w:sz w:val="28"/>
          <w:szCs w:val="28"/>
          <w:lang w:val="zh-CN" w:eastAsia="zh-CN" w:bidi="ar-SA"/>
        </w:rPr>
        <w:fldChar w:fldCharType="separate"/>
      </w:r>
      <w:r>
        <w:rPr>
          <w:rFonts w:hint="default" w:ascii="Times New Roman" w:hAnsi="Times New Roman" w:cs="Times New Roman" w:eastAsiaTheme="minorEastAsia"/>
          <w:b/>
          <w:bCs/>
          <w:kern w:val="0"/>
          <w:sz w:val="28"/>
          <w:szCs w:val="28"/>
          <w:lang w:val="zh-CN" w:eastAsia="zh-CN" w:bidi="ar-SA"/>
        </w:rPr>
        <w:t>4</w:t>
      </w:r>
      <w:r>
        <w:rPr>
          <w:rFonts w:hint="default" w:ascii="Times New Roman" w:hAnsi="Times New Roman" w:cs="Times New Roman" w:eastAsiaTheme="minorEastAsia"/>
          <w:b/>
          <w:bCs/>
          <w:kern w:val="0"/>
          <w:sz w:val="28"/>
          <w:szCs w:val="28"/>
          <w:lang w:val="zh-CN" w:eastAsia="zh-CN" w:bidi="ar-SA"/>
        </w:rPr>
        <w:fldChar w:fldCharType="end"/>
      </w:r>
      <w:r>
        <w:rPr>
          <w:rFonts w:hint="default" w:ascii="Times New Roman" w:hAnsi="Times New Roman" w:cs="Times New Roman" w:eastAsiaTheme="minorEastAsia"/>
          <w:b/>
          <w:bCs/>
          <w:kern w:val="0"/>
          <w:sz w:val="28"/>
          <w:szCs w:val="28"/>
          <w:lang w:val="zh-CN" w:eastAsia="zh-CN" w:bidi="ar-SA"/>
        </w:rPr>
        <w:fldChar w:fldCharType="end"/>
      </w:r>
    </w:p>
    <w:p w14:paraId="70C7224F">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_Toc25219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2.1以人为本，培养社会需要人才</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_Toc25219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4</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6DAFD986">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_Toc12005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2.2服务至上，支撑区域经济发展</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_Toc12005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5</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2AB243D6">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_Toc15437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2.3深度融合，促进办学水平提升</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_Toc15437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6</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23F6F848">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_Toc29090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2.4健全制度，规范融合发展环境</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_Toc29090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7</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1DDE3CB5">
      <w:pPr>
        <w:pStyle w:val="10"/>
        <w:tabs>
          <w:tab w:val="right" w:leader="dot" w:pos="8306"/>
        </w:tabs>
        <w:rPr>
          <w:rFonts w:hint="default" w:ascii="Times New Roman" w:hAnsi="Times New Roman" w:cs="Times New Roman" w:eastAsiaTheme="minorEastAsia"/>
          <w:b/>
          <w:bCs/>
          <w:kern w:val="0"/>
          <w:sz w:val="28"/>
          <w:szCs w:val="28"/>
          <w:lang w:val="zh-CN" w:eastAsia="zh-CN" w:bidi="ar-SA"/>
        </w:rPr>
      </w:pPr>
      <w:r>
        <w:rPr>
          <w:rFonts w:hint="default" w:ascii="Times New Roman" w:hAnsi="Times New Roman" w:cs="Times New Roman" w:eastAsiaTheme="minorEastAsia"/>
          <w:b/>
          <w:bCs/>
          <w:kern w:val="0"/>
          <w:sz w:val="28"/>
          <w:szCs w:val="28"/>
          <w:lang w:val="zh-CN" w:eastAsia="zh-CN" w:bidi="ar-SA"/>
        </w:rPr>
        <w:fldChar w:fldCharType="begin"/>
      </w:r>
      <w:r>
        <w:rPr>
          <w:rFonts w:hint="default" w:ascii="Times New Roman" w:hAnsi="Times New Roman" w:cs="Times New Roman" w:eastAsiaTheme="minorEastAsia"/>
          <w:b/>
          <w:bCs/>
          <w:kern w:val="0"/>
          <w:sz w:val="28"/>
          <w:szCs w:val="28"/>
          <w:lang w:val="zh-CN" w:eastAsia="zh-CN" w:bidi="ar-SA"/>
        </w:rPr>
        <w:instrText xml:space="preserve"> HYPERLINK \l _Toc22889 </w:instrText>
      </w:r>
      <w:r>
        <w:rPr>
          <w:rFonts w:hint="default" w:ascii="Times New Roman" w:hAnsi="Times New Roman" w:cs="Times New Roman" w:eastAsiaTheme="minorEastAsia"/>
          <w:b/>
          <w:bCs/>
          <w:kern w:val="0"/>
          <w:sz w:val="28"/>
          <w:szCs w:val="28"/>
          <w:lang w:val="zh-CN" w:eastAsia="zh-CN" w:bidi="ar-SA"/>
        </w:rPr>
        <w:fldChar w:fldCharType="separate"/>
      </w:r>
      <w:r>
        <w:rPr>
          <w:rFonts w:hint="default" w:ascii="Times New Roman" w:hAnsi="Times New Roman" w:cs="Times New Roman" w:eastAsiaTheme="minorEastAsia"/>
          <w:b/>
          <w:bCs/>
          <w:kern w:val="0"/>
          <w:sz w:val="28"/>
          <w:szCs w:val="28"/>
          <w:lang w:val="en-US" w:eastAsia="zh-CN" w:bidi="ar-SA"/>
        </w:rPr>
        <w:t>3.</w:t>
      </w:r>
      <w:r>
        <w:rPr>
          <w:rFonts w:hint="default" w:ascii="Times New Roman" w:hAnsi="Times New Roman" w:cs="Times New Roman" w:eastAsiaTheme="minorEastAsia"/>
          <w:b/>
          <w:bCs/>
          <w:kern w:val="0"/>
          <w:sz w:val="28"/>
          <w:szCs w:val="28"/>
          <w:lang w:val="zh-CN" w:eastAsia="zh-CN" w:bidi="ar-SA"/>
        </w:rPr>
        <w:t>区域特色骨干大学产教融合的</w:t>
      </w:r>
      <w:r>
        <w:rPr>
          <w:rFonts w:hint="default" w:ascii="Times New Roman" w:hAnsi="Times New Roman" w:cs="Times New Roman" w:eastAsiaTheme="minorEastAsia"/>
          <w:b/>
          <w:bCs/>
          <w:kern w:val="0"/>
          <w:sz w:val="28"/>
          <w:szCs w:val="28"/>
          <w:lang w:val="en-US" w:eastAsia="zh-CN" w:bidi="ar-SA"/>
        </w:rPr>
        <w:t>特色</w:t>
      </w:r>
      <w:r>
        <w:rPr>
          <w:rFonts w:hint="default" w:ascii="Times New Roman" w:hAnsi="Times New Roman" w:cs="Times New Roman" w:eastAsiaTheme="minorEastAsia"/>
          <w:b/>
          <w:bCs/>
          <w:kern w:val="0"/>
          <w:sz w:val="28"/>
          <w:szCs w:val="28"/>
          <w:lang w:val="zh-CN" w:eastAsia="zh-CN" w:bidi="ar-SA"/>
        </w:rPr>
        <w:tab/>
      </w:r>
      <w:r>
        <w:rPr>
          <w:rFonts w:hint="default" w:ascii="Times New Roman" w:hAnsi="Times New Roman" w:cs="Times New Roman" w:eastAsiaTheme="minorEastAsia"/>
          <w:b/>
          <w:bCs/>
          <w:kern w:val="0"/>
          <w:sz w:val="28"/>
          <w:szCs w:val="28"/>
          <w:lang w:val="zh-CN" w:eastAsia="zh-CN" w:bidi="ar-SA"/>
        </w:rPr>
        <w:fldChar w:fldCharType="begin"/>
      </w:r>
      <w:r>
        <w:rPr>
          <w:rFonts w:hint="default" w:ascii="Times New Roman" w:hAnsi="Times New Roman" w:cs="Times New Roman" w:eastAsiaTheme="minorEastAsia"/>
          <w:b/>
          <w:bCs/>
          <w:kern w:val="0"/>
          <w:sz w:val="28"/>
          <w:szCs w:val="28"/>
          <w:lang w:val="zh-CN" w:eastAsia="zh-CN" w:bidi="ar-SA"/>
        </w:rPr>
        <w:instrText xml:space="preserve"> PAGEREF _Toc22889 \h </w:instrText>
      </w:r>
      <w:r>
        <w:rPr>
          <w:rFonts w:hint="default" w:ascii="Times New Roman" w:hAnsi="Times New Roman" w:cs="Times New Roman" w:eastAsiaTheme="minorEastAsia"/>
          <w:b/>
          <w:bCs/>
          <w:kern w:val="0"/>
          <w:sz w:val="28"/>
          <w:szCs w:val="28"/>
          <w:lang w:val="zh-CN" w:eastAsia="zh-CN" w:bidi="ar-SA"/>
        </w:rPr>
        <w:fldChar w:fldCharType="separate"/>
      </w:r>
      <w:r>
        <w:rPr>
          <w:rFonts w:hint="default" w:ascii="Times New Roman" w:hAnsi="Times New Roman" w:cs="Times New Roman" w:eastAsiaTheme="minorEastAsia"/>
          <w:b/>
          <w:bCs/>
          <w:kern w:val="0"/>
          <w:sz w:val="28"/>
          <w:szCs w:val="28"/>
          <w:lang w:val="zh-CN" w:eastAsia="zh-CN" w:bidi="ar-SA"/>
        </w:rPr>
        <w:t>7</w:t>
      </w:r>
      <w:r>
        <w:rPr>
          <w:rFonts w:hint="default" w:ascii="Times New Roman" w:hAnsi="Times New Roman" w:cs="Times New Roman" w:eastAsiaTheme="minorEastAsia"/>
          <w:b/>
          <w:bCs/>
          <w:kern w:val="0"/>
          <w:sz w:val="28"/>
          <w:szCs w:val="28"/>
          <w:lang w:val="zh-CN" w:eastAsia="zh-CN" w:bidi="ar-SA"/>
        </w:rPr>
        <w:fldChar w:fldCharType="end"/>
      </w:r>
      <w:r>
        <w:rPr>
          <w:rFonts w:hint="default" w:ascii="Times New Roman" w:hAnsi="Times New Roman" w:cs="Times New Roman" w:eastAsiaTheme="minorEastAsia"/>
          <w:b/>
          <w:bCs/>
          <w:kern w:val="0"/>
          <w:sz w:val="28"/>
          <w:szCs w:val="28"/>
          <w:lang w:val="zh-CN" w:eastAsia="zh-CN" w:bidi="ar-SA"/>
        </w:rPr>
        <w:fldChar w:fldCharType="end"/>
      </w:r>
    </w:p>
    <w:p w14:paraId="2B559D89">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_Toc26988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3.1坚持立足行业，作好“接地气”文章</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_Toc26988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7</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28CF2DDD">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_Toc1867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3.2坚持有为有不为，互利共赢良性互动</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_Toc1867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8</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5F5F421C">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_Toc6185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3.3坚持资源共享，克服资源瓶颈制约</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_Toc6185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8</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787D508F">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_Toc27025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3.4坚持创新发展，“五链同构”多元育人</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_Toc27025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9</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2DEB73DE">
      <w:pPr>
        <w:pStyle w:val="10"/>
        <w:tabs>
          <w:tab w:val="right" w:leader="dot" w:pos="8306"/>
        </w:tabs>
        <w:rPr>
          <w:rFonts w:hint="default" w:ascii="Times New Roman" w:hAnsi="Times New Roman" w:cs="Times New Roman" w:eastAsiaTheme="minorEastAsia"/>
          <w:b/>
          <w:bCs/>
          <w:kern w:val="0"/>
          <w:sz w:val="28"/>
          <w:szCs w:val="28"/>
          <w:lang w:val="zh-CN" w:eastAsia="zh-CN" w:bidi="ar-SA"/>
        </w:rPr>
      </w:pPr>
      <w:r>
        <w:rPr>
          <w:rFonts w:hint="default" w:ascii="Times New Roman" w:hAnsi="Times New Roman" w:cs="Times New Roman" w:eastAsiaTheme="minorEastAsia"/>
          <w:b/>
          <w:bCs/>
          <w:kern w:val="0"/>
          <w:sz w:val="28"/>
          <w:szCs w:val="28"/>
          <w:lang w:val="zh-CN" w:eastAsia="zh-CN" w:bidi="ar-SA"/>
        </w:rPr>
        <w:fldChar w:fldCharType="begin"/>
      </w:r>
      <w:r>
        <w:rPr>
          <w:rFonts w:hint="default" w:ascii="Times New Roman" w:hAnsi="Times New Roman" w:cs="Times New Roman" w:eastAsiaTheme="minorEastAsia"/>
          <w:b/>
          <w:bCs/>
          <w:kern w:val="0"/>
          <w:sz w:val="28"/>
          <w:szCs w:val="28"/>
          <w:lang w:val="zh-CN" w:eastAsia="zh-CN" w:bidi="ar-SA"/>
        </w:rPr>
        <w:instrText xml:space="preserve"> HYPERLINK \l _Toc24324 </w:instrText>
      </w:r>
      <w:r>
        <w:rPr>
          <w:rFonts w:hint="default" w:ascii="Times New Roman" w:hAnsi="Times New Roman" w:cs="Times New Roman" w:eastAsiaTheme="minorEastAsia"/>
          <w:b/>
          <w:bCs/>
          <w:kern w:val="0"/>
          <w:sz w:val="28"/>
          <w:szCs w:val="28"/>
          <w:lang w:val="zh-CN" w:eastAsia="zh-CN" w:bidi="ar-SA"/>
        </w:rPr>
        <w:fldChar w:fldCharType="separate"/>
      </w:r>
      <w:r>
        <w:rPr>
          <w:rFonts w:hint="default" w:ascii="Times New Roman" w:hAnsi="Times New Roman" w:cs="Times New Roman" w:eastAsiaTheme="minorEastAsia"/>
          <w:b/>
          <w:bCs/>
          <w:kern w:val="0"/>
          <w:sz w:val="28"/>
          <w:szCs w:val="28"/>
          <w:lang w:val="en-US" w:eastAsia="zh-CN" w:bidi="ar-SA"/>
        </w:rPr>
        <w:t>4</w:t>
      </w:r>
      <w:r>
        <w:rPr>
          <w:rFonts w:hint="default" w:ascii="Times New Roman" w:hAnsi="Times New Roman" w:cs="Times New Roman" w:eastAsiaTheme="minorEastAsia"/>
          <w:b/>
          <w:bCs/>
          <w:kern w:val="0"/>
          <w:sz w:val="28"/>
          <w:szCs w:val="28"/>
          <w:lang w:val="zh-CN" w:eastAsia="zh-CN" w:bidi="ar-SA"/>
        </w:rPr>
        <w:t>.区域特色骨干大学产教融合的</w:t>
      </w:r>
      <w:r>
        <w:rPr>
          <w:rFonts w:hint="default" w:ascii="Times New Roman" w:hAnsi="Times New Roman" w:cs="Times New Roman" w:eastAsiaTheme="minorEastAsia"/>
          <w:b/>
          <w:bCs/>
          <w:kern w:val="0"/>
          <w:sz w:val="28"/>
          <w:szCs w:val="28"/>
          <w:lang w:val="en-US" w:eastAsia="zh-CN" w:bidi="ar-SA"/>
        </w:rPr>
        <w:t>机制</w:t>
      </w:r>
      <w:r>
        <w:rPr>
          <w:rFonts w:hint="default" w:ascii="Times New Roman" w:hAnsi="Times New Roman" w:cs="Times New Roman" w:eastAsiaTheme="minorEastAsia"/>
          <w:b/>
          <w:bCs/>
          <w:kern w:val="0"/>
          <w:sz w:val="28"/>
          <w:szCs w:val="28"/>
          <w:lang w:val="zh-CN" w:eastAsia="zh-CN" w:bidi="ar-SA"/>
        </w:rPr>
        <w:tab/>
      </w:r>
      <w:r>
        <w:rPr>
          <w:rFonts w:hint="default" w:ascii="Times New Roman" w:hAnsi="Times New Roman" w:cs="Times New Roman" w:eastAsiaTheme="minorEastAsia"/>
          <w:b/>
          <w:bCs/>
          <w:kern w:val="0"/>
          <w:sz w:val="28"/>
          <w:szCs w:val="28"/>
          <w:lang w:val="zh-CN" w:eastAsia="zh-CN" w:bidi="ar-SA"/>
        </w:rPr>
        <w:fldChar w:fldCharType="begin"/>
      </w:r>
      <w:r>
        <w:rPr>
          <w:rFonts w:hint="default" w:ascii="Times New Roman" w:hAnsi="Times New Roman" w:cs="Times New Roman" w:eastAsiaTheme="minorEastAsia"/>
          <w:b/>
          <w:bCs/>
          <w:kern w:val="0"/>
          <w:sz w:val="28"/>
          <w:szCs w:val="28"/>
          <w:lang w:val="zh-CN" w:eastAsia="zh-CN" w:bidi="ar-SA"/>
        </w:rPr>
        <w:instrText xml:space="preserve"> PAGEREF _Toc24324 \h </w:instrText>
      </w:r>
      <w:r>
        <w:rPr>
          <w:rFonts w:hint="default" w:ascii="Times New Roman" w:hAnsi="Times New Roman" w:cs="Times New Roman" w:eastAsiaTheme="minorEastAsia"/>
          <w:b/>
          <w:bCs/>
          <w:kern w:val="0"/>
          <w:sz w:val="28"/>
          <w:szCs w:val="28"/>
          <w:lang w:val="zh-CN" w:eastAsia="zh-CN" w:bidi="ar-SA"/>
        </w:rPr>
        <w:fldChar w:fldCharType="separate"/>
      </w:r>
      <w:r>
        <w:rPr>
          <w:rFonts w:hint="default" w:ascii="Times New Roman" w:hAnsi="Times New Roman" w:cs="Times New Roman" w:eastAsiaTheme="minorEastAsia"/>
          <w:b/>
          <w:bCs/>
          <w:kern w:val="0"/>
          <w:sz w:val="28"/>
          <w:szCs w:val="28"/>
          <w:lang w:val="zh-CN" w:eastAsia="zh-CN" w:bidi="ar-SA"/>
        </w:rPr>
        <w:t>9</w:t>
      </w:r>
      <w:r>
        <w:rPr>
          <w:rFonts w:hint="default" w:ascii="Times New Roman" w:hAnsi="Times New Roman" w:cs="Times New Roman" w:eastAsiaTheme="minorEastAsia"/>
          <w:b/>
          <w:bCs/>
          <w:kern w:val="0"/>
          <w:sz w:val="28"/>
          <w:szCs w:val="28"/>
          <w:lang w:val="zh-CN" w:eastAsia="zh-CN" w:bidi="ar-SA"/>
        </w:rPr>
        <w:fldChar w:fldCharType="end"/>
      </w:r>
      <w:r>
        <w:rPr>
          <w:rFonts w:hint="default" w:ascii="Times New Roman" w:hAnsi="Times New Roman" w:cs="Times New Roman" w:eastAsiaTheme="minorEastAsia"/>
          <w:b/>
          <w:bCs/>
          <w:kern w:val="0"/>
          <w:sz w:val="28"/>
          <w:szCs w:val="28"/>
          <w:lang w:val="zh-CN" w:eastAsia="zh-CN" w:bidi="ar-SA"/>
        </w:rPr>
        <w:fldChar w:fldCharType="end"/>
      </w:r>
    </w:p>
    <w:p w14:paraId="42CE3CA1">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_Toc8346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w:t>
      </w:r>
      <w:r>
        <w:rPr>
          <w:rFonts w:hint="default" w:ascii="Times New Roman" w:hAnsi="Times New Roman" w:cs="Times New Roman"/>
          <w:bCs/>
          <w:lang w:val="zh-CN" w:eastAsia="zh-CN"/>
        </w:rPr>
        <w:t xml:space="preserve">.1 </w:t>
      </w:r>
      <w:r>
        <w:rPr>
          <w:rFonts w:hint="default" w:ascii="Times New Roman" w:hAnsi="Times New Roman" w:cs="Times New Roman"/>
          <w:bCs/>
          <w:lang w:val="en-US" w:eastAsia="zh-CN"/>
        </w:rPr>
        <w:t>产教融合</w:t>
      </w:r>
      <w:r>
        <w:rPr>
          <w:rFonts w:hint="default" w:ascii="Times New Roman" w:hAnsi="Times New Roman" w:cs="Times New Roman"/>
          <w:bCs/>
          <w:lang w:val="zh-CN" w:eastAsia="zh-CN"/>
        </w:rPr>
        <w:t>动力机制</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_Toc8346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9</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08EA08D7">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_Toc6457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w:t>
      </w:r>
      <w:r>
        <w:rPr>
          <w:rFonts w:hint="default" w:ascii="Times New Roman" w:hAnsi="Times New Roman" w:cs="Times New Roman"/>
          <w:bCs/>
          <w:lang w:val="zh-CN" w:eastAsia="zh-CN"/>
        </w:rPr>
        <w:t>.1.1 利益驱动</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_Toc6457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10</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5F812142">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_Toc19877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w:t>
      </w:r>
      <w:r>
        <w:rPr>
          <w:rFonts w:hint="default" w:ascii="Times New Roman" w:hAnsi="Times New Roman" w:cs="Times New Roman"/>
          <w:bCs/>
          <w:lang w:val="zh-CN" w:eastAsia="zh-CN"/>
        </w:rPr>
        <w:t>.1.</w:t>
      </w:r>
      <w:r>
        <w:rPr>
          <w:rFonts w:hint="default" w:ascii="Times New Roman" w:hAnsi="Times New Roman" w:cs="Times New Roman"/>
          <w:bCs/>
          <w:lang w:val="en-US" w:eastAsia="zh-CN"/>
        </w:rPr>
        <w:t>2</w:t>
      </w:r>
      <w:r>
        <w:rPr>
          <w:rFonts w:hint="default" w:ascii="Times New Roman" w:hAnsi="Times New Roman" w:cs="Times New Roman"/>
          <w:bCs/>
          <w:lang w:val="zh-CN" w:eastAsia="zh-CN"/>
        </w:rPr>
        <w:t xml:space="preserve"> </w:t>
      </w:r>
      <w:r>
        <w:rPr>
          <w:rFonts w:hint="default" w:ascii="Times New Roman" w:hAnsi="Times New Roman" w:cs="Times New Roman"/>
          <w:bCs/>
          <w:lang w:val="en-US" w:eastAsia="zh-CN"/>
        </w:rPr>
        <w:t>制度驱动</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_Toc19877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10</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6094849A">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_Toc4665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w:t>
      </w:r>
      <w:r>
        <w:rPr>
          <w:rFonts w:hint="default" w:ascii="Times New Roman" w:hAnsi="Times New Roman" w:cs="Times New Roman"/>
          <w:bCs/>
          <w:lang w:val="zh-CN" w:eastAsia="zh-CN"/>
        </w:rPr>
        <w:t>.1.3 市场驱动</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_Toc4665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11</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16E102FF">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_Toc10466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w:t>
      </w:r>
      <w:r>
        <w:rPr>
          <w:rFonts w:hint="default" w:ascii="Times New Roman" w:hAnsi="Times New Roman" w:cs="Times New Roman"/>
          <w:bCs/>
          <w:lang w:val="zh-CN" w:eastAsia="zh-CN"/>
        </w:rPr>
        <w:t xml:space="preserve">.2 </w:t>
      </w:r>
      <w:r>
        <w:rPr>
          <w:rFonts w:hint="default" w:ascii="Times New Roman" w:hAnsi="Times New Roman" w:cs="Times New Roman"/>
          <w:bCs/>
          <w:lang w:val="en-US" w:eastAsia="zh-CN"/>
        </w:rPr>
        <w:t>产教融合</w:t>
      </w:r>
      <w:r>
        <w:rPr>
          <w:rFonts w:hint="default" w:ascii="Times New Roman" w:hAnsi="Times New Roman" w:cs="Times New Roman"/>
          <w:bCs/>
          <w:lang w:val="zh-CN" w:eastAsia="zh-CN"/>
        </w:rPr>
        <w:t>协调与反馈机制</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_Toc10466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12</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50333E70">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_Toc23022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4.2</w:t>
      </w:r>
      <w:r>
        <w:rPr>
          <w:rFonts w:hint="default" w:ascii="Times New Roman" w:hAnsi="Times New Roman" w:cs="Times New Roman"/>
          <w:bCs/>
          <w:lang w:val="zh-CN" w:eastAsia="zh-CN"/>
        </w:rPr>
        <w:t>.1 沟通协调</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_Toc23022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12</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1E98A0A0">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_Toc16674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4.2</w:t>
      </w:r>
      <w:r>
        <w:rPr>
          <w:rFonts w:hint="default" w:ascii="Times New Roman" w:hAnsi="Times New Roman" w:cs="Times New Roman"/>
          <w:bCs/>
          <w:lang w:val="zh-CN" w:eastAsia="zh-CN"/>
        </w:rPr>
        <w:t>.2 信息反馈</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_Toc16674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13</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49815AD7">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_Toc20524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4.3</w:t>
      </w:r>
      <w:r>
        <w:rPr>
          <w:rFonts w:hint="default" w:ascii="Times New Roman" w:hAnsi="Times New Roman" w:cs="Times New Roman"/>
          <w:bCs/>
          <w:lang w:val="zh-CN" w:eastAsia="zh-CN"/>
        </w:rPr>
        <w:t xml:space="preserve"> </w:t>
      </w:r>
      <w:r>
        <w:rPr>
          <w:rFonts w:hint="default" w:ascii="Times New Roman" w:hAnsi="Times New Roman" w:cs="Times New Roman"/>
          <w:bCs/>
          <w:lang w:val="en-US" w:eastAsia="zh-CN"/>
        </w:rPr>
        <w:t>产教融合</w:t>
      </w:r>
      <w:r>
        <w:rPr>
          <w:rFonts w:hint="default" w:ascii="Times New Roman" w:hAnsi="Times New Roman" w:cs="Times New Roman"/>
          <w:bCs/>
          <w:lang w:val="zh-CN" w:eastAsia="zh-CN"/>
        </w:rPr>
        <w:t>评价机制</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_Toc20524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13</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5951A3A2">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_Toc31249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4.3</w:t>
      </w:r>
      <w:r>
        <w:rPr>
          <w:rFonts w:hint="default" w:ascii="Times New Roman" w:hAnsi="Times New Roman" w:cs="Times New Roman"/>
          <w:bCs/>
          <w:lang w:val="zh-CN" w:eastAsia="zh-CN"/>
        </w:rPr>
        <w:t>.1 评价方式</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_Toc31249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13</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67879BBD">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_Toc18570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w:t>
      </w:r>
      <w:r>
        <w:rPr>
          <w:rFonts w:hint="default" w:ascii="Times New Roman" w:hAnsi="Times New Roman" w:cs="Times New Roman"/>
          <w:bCs/>
          <w:lang w:val="zh-CN" w:eastAsia="zh-CN"/>
        </w:rPr>
        <w:t>.</w:t>
      </w:r>
      <w:r>
        <w:rPr>
          <w:rFonts w:hint="default" w:ascii="Times New Roman" w:hAnsi="Times New Roman" w:cs="Times New Roman"/>
          <w:bCs/>
          <w:lang w:val="en-US" w:eastAsia="zh-CN"/>
        </w:rPr>
        <w:t>3</w:t>
      </w:r>
      <w:r>
        <w:rPr>
          <w:rFonts w:hint="default" w:ascii="Times New Roman" w:hAnsi="Times New Roman" w:cs="Times New Roman"/>
          <w:bCs/>
          <w:lang w:val="zh-CN" w:eastAsia="zh-CN"/>
        </w:rPr>
        <w:t>.</w:t>
      </w:r>
      <w:r>
        <w:rPr>
          <w:rFonts w:hint="default" w:ascii="Times New Roman" w:hAnsi="Times New Roman" w:cs="Times New Roman"/>
          <w:bCs/>
          <w:lang w:val="en-US" w:eastAsia="zh-CN"/>
        </w:rPr>
        <w:t>2</w:t>
      </w:r>
      <w:r>
        <w:rPr>
          <w:rFonts w:hint="default" w:ascii="Times New Roman" w:hAnsi="Times New Roman" w:cs="Times New Roman"/>
          <w:bCs/>
          <w:lang w:val="zh-CN" w:eastAsia="zh-CN"/>
        </w:rPr>
        <w:t xml:space="preserve"> 评价指标</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_Toc18570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14</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1D0A5410">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_Toc17684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w:t>
      </w:r>
      <w:r>
        <w:rPr>
          <w:rFonts w:hint="default" w:ascii="Times New Roman" w:hAnsi="Times New Roman" w:cs="Times New Roman"/>
          <w:bCs/>
          <w:lang w:val="zh-CN" w:eastAsia="zh-CN"/>
        </w:rPr>
        <w:t>.</w:t>
      </w:r>
      <w:r>
        <w:rPr>
          <w:rFonts w:hint="default" w:ascii="Times New Roman" w:hAnsi="Times New Roman" w:cs="Times New Roman"/>
          <w:bCs/>
          <w:lang w:val="en-US" w:eastAsia="zh-CN"/>
        </w:rPr>
        <w:t>3</w:t>
      </w:r>
      <w:r>
        <w:rPr>
          <w:rFonts w:hint="default" w:ascii="Times New Roman" w:hAnsi="Times New Roman" w:cs="Times New Roman"/>
          <w:bCs/>
          <w:lang w:val="zh-CN" w:eastAsia="zh-CN"/>
        </w:rPr>
        <w:t>.</w:t>
      </w:r>
      <w:r>
        <w:rPr>
          <w:rFonts w:hint="default" w:ascii="Times New Roman" w:hAnsi="Times New Roman" w:cs="Times New Roman"/>
          <w:bCs/>
          <w:lang w:val="en-US" w:eastAsia="zh-CN"/>
        </w:rPr>
        <w:t>3</w:t>
      </w:r>
      <w:r>
        <w:rPr>
          <w:rFonts w:hint="default" w:ascii="Times New Roman" w:hAnsi="Times New Roman" w:cs="Times New Roman"/>
          <w:bCs/>
          <w:lang w:val="zh-CN" w:eastAsia="zh-CN"/>
        </w:rPr>
        <w:t xml:space="preserve"> 评价</w:t>
      </w:r>
      <w:r>
        <w:rPr>
          <w:rFonts w:hint="default" w:ascii="Times New Roman" w:hAnsi="Times New Roman" w:cs="Times New Roman"/>
          <w:bCs/>
          <w:lang w:val="en-US" w:eastAsia="zh-CN"/>
        </w:rPr>
        <w:t>结果</w:t>
      </w:r>
      <w:r>
        <w:rPr>
          <w:rFonts w:hint="default" w:ascii="Times New Roman" w:hAnsi="Times New Roman" w:cs="Times New Roman"/>
          <w:bCs/>
          <w:lang w:val="zh-CN" w:eastAsia="zh-CN"/>
        </w:rPr>
        <w:t>运用</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_Toc17684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14</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23682D65">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_Toc29251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4.4</w:t>
      </w:r>
      <w:r>
        <w:rPr>
          <w:rFonts w:hint="default" w:ascii="Times New Roman" w:hAnsi="Times New Roman" w:cs="Times New Roman"/>
          <w:bCs/>
          <w:lang w:val="zh-CN" w:eastAsia="zh-CN"/>
        </w:rPr>
        <w:t xml:space="preserve"> </w:t>
      </w:r>
      <w:r>
        <w:rPr>
          <w:rFonts w:hint="default" w:ascii="Times New Roman" w:hAnsi="Times New Roman" w:cs="Times New Roman"/>
          <w:bCs/>
          <w:lang w:val="en-US" w:eastAsia="zh-CN"/>
        </w:rPr>
        <w:t>产教融合</w:t>
      </w:r>
      <w:r>
        <w:rPr>
          <w:rFonts w:hint="default" w:ascii="Times New Roman" w:hAnsi="Times New Roman" w:cs="Times New Roman"/>
          <w:bCs/>
          <w:lang w:val="zh-CN" w:eastAsia="zh-CN"/>
        </w:rPr>
        <w:t>激励机制</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_Toc29251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14</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05AB4CF2">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_Toc12868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4.4</w:t>
      </w:r>
      <w:r>
        <w:rPr>
          <w:rFonts w:hint="default" w:ascii="Times New Roman" w:hAnsi="Times New Roman" w:cs="Times New Roman"/>
          <w:bCs/>
          <w:lang w:val="zh-CN" w:eastAsia="zh-CN"/>
        </w:rPr>
        <w:t>.1 报酬激励</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_Toc12868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15</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2A9E4509">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_Toc19398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4.4.2</w:t>
      </w:r>
      <w:r>
        <w:rPr>
          <w:rFonts w:hint="default" w:ascii="Times New Roman" w:hAnsi="Times New Roman" w:cs="Times New Roman"/>
          <w:bCs/>
          <w:lang w:val="zh-CN" w:eastAsia="zh-CN"/>
        </w:rPr>
        <w:t>政策激励</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_Toc19398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15</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734764E8">
      <w:pPr>
        <w:pStyle w:val="10"/>
        <w:tabs>
          <w:tab w:val="right" w:leader="dot" w:pos="8306"/>
        </w:tabs>
        <w:rPr>
          <w:rFonts w:hint="default" w:ascii="Times New Roman" w:hAnsi="Times New Roman" w:cs="Times New Roman" w:eastAsiaTheme="minorEastAsia"/>
          <w:b/>
          <w:bCs/>
          <w:kern w:val="0"/>
          <w:sz w:val="28"/>
          <w:szCs w:val="28"/>
          <w:lang w:val="zh-CN" w:eastAsia="zh-CN" w:bidi="ar-SA"/>
        </w:rPr>
      </w:pPr>
    </w:p>
    <w:p w14:paraId="1BE7D59D">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eastAsiaTheme="minorEastAsia"/>
          <w:b/>
          <w:bCs/>
          <w:kern w:val="0"/>
          <w:sz w:val="28"/>
          <w:szCs w:val="28"/>
          <w:lang w:val="zh-CN" w:eastAsia="zh-CN" w:bidi="ar-SA"/>
        </w:rPr>
        <w:fldChar w:fldCharType="begin"/>
      </w:r>
      <w:r>
        <w:rPr>
          <w:rFonts w:hint="default" w:ascii="Times New Roman" w:hAnsi="Times New Roman" w:cs="Times New Roman" w:eastAsiaTheme="minorEastAsia"/>
          <w:b/>
          <w:bCs/>
          <w:kern w:val="0"/>
          <w:sz w:val="28"/>
          <w:szCs w:val="28"/>
          <w:lang w:val="zh-CN" w:eastAsia="zh-CN" w:bidi="ar-SA"/>
        </w:rPr>
        <w:instrText xml:space="preserve"> HYPERLINK \l _Toc8737 </w:instrText>
      </w:r>
      <w:r>
        <w:rPr>
          <w:rFonts w:hint="default" w:ascii="Times New Roman" w:hAnsi="Times New Roman" w:cs="Times New Roman" w:eastAsiaTheme="minorEastAsia"/>
          <w:b/>
          <w:bCs/>
          <w:kern w:val="0"/>
          <w:sz w:val="28"/>
          <w:szCs w:val="28"/>
          <w:lang w:val="zh-CN" w:eastAsia="zh-CN" w:bidi="ar-SA"/>
        </w:rPr>
        <w:fldChar w:fldCharType="separate"/>
      </w:r>
      <w:r>
        <w:rPr>
          <w:rFonts w:hint="default" w:ascii="Times New Roman" w:hAnsi="Times New Roman" w:cs="Times New Roman" w:eastAsiaTheme="minorEastAsia"/>
          <w:b/>
          <w:bCs/>
          <w:kern w:val="0"/>
          <w:sz w:val="28"/>
          <w:szCs w:val="28"/>
          <w:lang w:val="en-US" w:eastAsia="zh-CN" w:bidi="ar-SA"/>
        </w:rPr>
        <w:t>5.</w:t>
      </w:r>
      <w:r>
        <w:rPr>
          <w:rFonts w:hint="default" w:ascii="Times New Roman" w:hAnsi="Times New Roman" w:cs="Times New Roman" w:eastAsiaTheme="minorEastAsia"/>
          <w:b/>
          <w:bCs/>
          <w:kern w:val="0"/>
          <w:sz w:val="28"/>
          <w:szCs w:val="28"/>
          <w:lang w:val="zh-CN" w:eastAsia="zh-CN" w:bidi="ar-SA"/>
        </w:rPr>
        <w:t>区域特色骨干大学产教</w:t>
      </w:r>
      <w:r>
        <w:rPr>
          <w:rFonts w:hint="default" w:ascii="Times New Roman" w:hAnsi="Times New Roman" w:cs="Times New Roman" w:eastAsiaTheme="minorEastAsia"/>
          <w:b/>
          <w:bCs/>
          <w:kern w:val="0"/>
          <w:sz w:val="28"/>
          <w:szCs w:val="28"/>
          <w:lang w:val="en-US" w:eastAsia="zh-CN" w:bidi="ar-SA"/>
        </w:rPr>
        <w:t>深度</w:t>
      </w:r>
      <w:r>
        <w:rPr>
          <w:rFonts w:hint="default" w:ascii="Times New Roman" w:hAnsi="Times New Roman" w:cs="Times New Roman" w:eastAsiaTheme="minorEastAsia"/>
          <w:b/>
          <w:bCs/>
          <w:kern w:val="0"/>
          <w:sz w:val="28"/>
          <w:szCs w:val="28"/>
          <w:lang w:val="zh-CN" w:eastAsia="zh-CN" w:bidi="ar-SA"/>
        </w:rPr>
        <w:t>融合的</w:t>
      </w:r>
      <w:r>
        <w:rPr>
          <w:rFonts w:hint="default" w:ascii="Times New Roman" w:hAnsi="Times New Roman" w:cs="Times New Roman" w:eastAsiaTheme="minorEastAsia"/>
          <w:b/>
          <w:bCs/>
          <w:kern w:val="0"/>
          <w:sz w:val="28"/>
          <w:szCs w:val="28"/>
          <w:lang w:val="en-US" w:eastAsia="zh-CN" w:bidi="ar-SA"/>
        </w:rPr>
        <w:t>典型</w:t>
      </w:r>
      <w:r>
        <w:rPr>
          <w:rFonts w:hint="default" w:ascii="Times New Roman" w:hAnsi="Times New Roman" w:cs="Times New Roman" w:eastAsiaTheme="minorEastAsia"/>
          <w:b/>
          <w:bCs/>
          <w:kern w:val="0"/>
          <w:sz w:val="28"/>
          <w:szCs w:val="28"/>
          <w:lang w:val="zh-CN" w:eastAsia="zh-CN" w:bidi="ar-SA"/>
        </w:rPr>
        <w:t>案例</w:t>
      </w:r>
      <w:r>
        <w:rPr>
          <w:rFonts w:hint="default" w:ascii="Times New Roman" w:hAnsi="Times New Roman" w:cs="Times New Roman" w:eastAsiaTheme="minorEastAsia"/>
          <w:b/>
          <w:bCs/>
          <w:kern w:val="0"/>
          <w:sz w:val="28"/>
          <w:szCs w:val="28"/>
          <w:lang w:val="zh-CN" w:eastAsia="zh-CN" w:bidi="ar-SA"/>
        </w:rPr>
        <w:tab/>
      </w:r>
      <w:r>
        <w:rPr>
          <w:rFonts w:hint="default" w:ascii="Times New Roman" w:hAnsi="Times New Roman" w:cs="Times New Roman" w:eastAsiaTheme="minorEastAsia"/>
          <w:b/>
          <w:bCs/>
          <w:kern w:val="0"/>
          <w:sz w:val="28"/>
          <w:szCs w:val="28"/>
          <w:lang w:val="zh-CN" w:eastAsia="zh-CN" w:bidi="ar-SA"/>
        </w:rPr>
        <w:fldChar w:fldCharType="begin"/>
      </w:r>
      <w:r>
        <w:rPr>
          <w:rFonts w:hint="default" w:ascii="Times New Roman" w:hAnsi="Times New Roman" w:cs="Times New Roman" w:eastAsiaTheme="minorEastAsia"/>
          <w:b/>
          <w:bCs/>
          <w:kern w:val="0"/>
          <w:sz w:val="28"/>
          <w:szCs w:val="28"/>
          <w:lang w:val="zh-CN" w:eastAsia="zh-CN" w:bidi="ar-SA"/>
        </w:rPr>
        <w:instrText xml:space="preserve"> PAGEREF _Toc8737 \h </w:instrText>
      </w:r>
      <w:r>
        <w:rPr>
          <w:rFonts w:hint="default" w:ascii="Times New Roman" w:hAnsi="Times New Roman" w:cs="Times New Roman" w:eastAsiaTheme="minorEastAsia"/>
          <w:b/>
          <w:bCs/>
          <w:kern w:val="0"/>
          <w:sz w:val="28"/>
          <w:szCs w:val="28"/>
          <w:lang w:val="zh-CN" w:eastAsia="zh-CN" w:bidi="ar-SA"/>
        </w:rPr>
        <w:fldChar w:fldCharType="separate"/>
      </w:r>
      <w:r>
        <w:rPr>
          <w:rFonts w:hint="default" w:ascii="Times New Roman" w:hAnsi="Times New Roman" w:cs="Times New Roman" w:eastAsiaTheme="minorEastAsia"/>
          <w:b/>
          <w:bCs/>
          <w:kern w:val="0"/>
          <w:sz w:val="28"/>
          <w:szCs w:val="28"/>
          <w:lang w:val="zh-CN" w:eastAsia="zh-CN" w:bidi="ar-SA"/>
        </w:rPr>
        <w:t>16</w:t>
      </w:r>
      <w:r>
        <w:rPr>
          <w:rFonts w:hint="default" w:ascii="Times New Roman" w:hAnsi="Times New Roman" w:cs="Times New Roman" w:eastAsiaTheme="minorEastAsia"/>
          <w:b/>
          <w:bCs/>
          <w:kern w:val="0"/>
          <w:sz w:val="28"/>
          <w:szCs w:val="28"/>
          <w:lang w:val="zh-CN" w:eastAsia="zh-CN" w:bidi="ar-SA"/>
        </w:rPr>
        <w:fldChar w:fldCharType="end"/>
      </w:r>
      <w:r>
        <w:rPr>
          <w:rFonts w:hint="default" w:ascii="Times New Roman" w:hAnsi="Times New Roman" w:cs="Times New Roman" w:eastAsiaTheme="minorEastAsia"/>
          <w:b/>
          <w:bCs/>
          <w:kern w:val="0"/>
          <w:sz w:val="28"/>
          <w:szCs w:val="28"/>
          <w:lang w:val="zh-CN" w:eastAsia="zh-CN" w:bidi="ar-SA"/>
        </w:rPr>
        <w:fldChar w:fldCharType="end"/>
      </w:r>
    </w:p>
    <w:p w14:paraId="5493AE38">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_Toc26655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5.1打造产教深度融合示范样板</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_Toc26655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16</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1594A637">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_Toc26090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5.2集成推广丰产增效和互补增抗技术，以新品种推动种业升级</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_Toc26090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17</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0B32EAC6">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_Toc15462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5.3实现林业的保护性开发与高值化利用，构筑大粮仓屏障</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_Toc15462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19</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70C12425">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_Toc19400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5.4助力生态文明建设和高质量发展</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_Toc19400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20</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22B65D18">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_Toc7630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5.5助推畜牧大省向畜牧强省转变</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_Toc7630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22</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7B13B822">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_Toc15654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5.6加速农业废弃物资源化利用，加速农艺与农机相融合</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_Toc15654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24</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01A4662E">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_Toc7440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5.7助力脱贫攻坚与乡村振兴</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_Toc7440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26</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5FD04F41">
      <w:pPr>
        <w:pStyle w:val="10"/>
        <w:tabs>
          <w:tab w:val="right" w:leader="dot" w:pos="8306"/>
        </w:tabs>
        <w:rPr>
          <w:rFonts w:hint="default" w:ascii="Times New Roman" w:hAnsi="Times New Roman" w:cs="Times New Roman" w:eastAsiaTheme="minorEastAsia"/>
          <w:b/>
          <w:bCs/>
          <w:kern w:val="0"/>
          <w:sz w:val="28"/>
          <w:szCs w:val="28"/>
          <w:lang w:val="zh-CN" w:eastAsia="zh-CN" w:bidi="ar-SA"/>
        </w:rPr>
      </w:pPr>
      <w:r>
        <w:rPr>
          <w:rFonts w:hint="default" w:ascii="Times New Roman" w:hAnsi="Times New Roman" w:cs="Times New Roman" w:eastAsiaTheme="minorEastAsia"/>
          <w:b/>
          <w:bCs/>
          <w:kern w:val="0"/>
          <w:sz w:val="28"/>
          <w:szCs w:val="28"/>
          <w:lang w:val="zh-CN" w:eastAsia="zh-CN" w:bidi="ar-SA"/>
        </w:rPr>
        <w:fldChar w:fldCharType="begin"/>
      </w:r>
      <w:r>
        <w:rPr>
          <w:rFonts w:hint="default" w:ascii="Times New Roman" w:hAnsi="Times New Roman" w:cs="Times New Roman" w:eastAsiaTheme="minorEastAsia"/>
          <w:b/>
          <w:bCs/>
          <w:kern w:val="0"/>
          <w:sz w:val="28"/>
          <w:szCs w:val="28"/>
          <w:lang w:val="zh-CN" w:eastAsia="zh-CN" w:bidi="ar-SA"/>
        </w:rPr>
        <w:instrText xml:space="preserve"> HYPERLINK \l _Toc2283 </w:instrText>
      </w:r>
      <w:r>
        <w:rPr>
          <w:rFonts w:hint="default" w:ascii="Times New Roman" w:hAnsi="Times New Roman" w:cs="Times New Roman" w:eastAsiaTheme="minorEastAsia"/>
          <w:b/>
          <w:bCs/>
          <w:kern w:val="0"/>
          <w:sz w:val="28"/>
          <w:szCs w:val="28"/>
          <w:lang w:val="zh-CN" w:eastAsia="zh-CN" w:bidi="ar-SA"/>
        </w:rPr>
        <w:fldChar w:fldCharType="separate"/>
      </w:r>
      <w:r>
        <w:rPr>
          <w:rFonts w:hint="default" w:ascii="Times New Roman" w:hAnsi="Times New Roman" w:cs="Times New Roman" w:eastAsiaTheme="minorEastAsia"/>
          <w:b/>
          <w:bCs/>
          <w:kern w:val="0"/>
          <w:sz w:val="28"/>
          <w:szCs w:val="28"/>
          <w:lang w:val="en-US" w:eastAsia="zh-CN" w:bidi="ar-SA"/>
        </w:rPr>
        <w:t>6</w:t>
      </w:r>
      <w:r>
        <w:rPr>
          <w:rFonts w:hint="default" w:ascii="Times New Roman" w:hAnsi="Times New Roman" w:cs="Times New Roman" w:eastAsiaTheme="minorEastAsia"/>
          <w:b/>
          <w:bCs/>
          <w:kern w:val="0"/>
          <w:sz w:val="28"/>
          <w:szCs w:val="28"/>
          <w:lang w:val="zh-CN" w:eastAsia="zh-CN" w:bidi="ar-SA"/>
        </w:rPr>
        <w:t xml:space="preserve">. </w:t>
      </w:r>
      <w:r>
        <w:rPr>
          <w:rFonts w:hint="default" w:ascii="Times New Roman" w:hAnsi="Times New Roman" w:cs="Times New Roman" w:eastAsiaTheme="minorEastAsia"/>
          <w:b/>
          <w:bCs/>
          <w:kern w:val="0"/>
          <w:sz w:val="28"/>
          <w:szCs w:val="28"/>
          <w:lang w:val="en-US" w:eastAsia="zh-CN" w:bidi="ar-SA"/>
        </w:rPr>
        <w:t>区域特色骨干大学产教深度融合存在的短板</w:t>
      </w:r>
      <w:r>
        <w:rPr>
          <w:rFonts w:hint="default" w:ascii="Times New Roman" w:hAnsi="Times New Roman" w:cs="Times New Roman" w:eastAsiaTheme="minorEastAsia"/>
          <w:b/>
          <w:bCs/>
          <w:kern w:val="0"/>
          <w:sz w:val="28"/>
          <w:szCs w:val="28"/>
          <w:lang w:val="zh-CN" w:eastAsia="zh-CN" w:bidi="ar-SA"/>
        </w:rPr>
        <w:tab/>
      </w:r>
      <w:r>
        <w:rPr>
          <w:rFonts w:hint="default" w:ascii="Times New Roman" w:hAnsi="Times New Roman" w:cs="Times New Roman" w:eastAsiaTheme="minorEastAsia"/>
          <w:b/>
          <w:bCs/>
          <w:kern w:val="0"/>
          <w:sz w:val="28"/>
          <w:szCs w:val="28"/>
          <w:lang w:val="zh-CN" w:eastAsia="zh-CN" w:bidi="ar-SA"/>
        </w:rPr>
        <w:fldChar w:fldCharType="begin"/>
      </w:r>
      <w:r>
        <w:rPr>
          <w:rFonts w:hint="default" w:ascii="Times New Roman" w:hAnsi="Times New Roman" w:cs="Times New Roman" w:eastAsiaTheme="minorEastAsia"/>
          <w:b/>
          <w:bCs/>
          <w:kern w:val="0"/>
          <w:sz w:val="28"/>
          <w:szCs w:val="28"/>
          <w:lang w:val="zh-CN" w:eastAsia="zh-CN" w:bidi="ar-SA"/>
        </w:rPr>
        <w:instrText xml:space="preserve"> PAGEREF _Toc2283 \h </w:instrText>
      </w:r>
      <w:r>
        <w:rPr>
          <w:rFonts w:hint="default" w:ascii="Times New Roman" w:hAnsi="Times New Roman" w:cs="Times New Roman" w:eastAsiaTheme="minorEastAsia"/>
          <w:b/>
          <w:bCs/>
          <w:kern w:val="0"/>
          <w:sz w:val="28"/>
          <w:szCs w:val="28"/>
          <w:lang w:val="zh-CN" w:eastAsia="zh-CN" w:bidi="ar-SA"/>
        </w:rPr>
        <w:fldChar w:fldCharType="separate"/>
      </w:r>
      <w:r>
        <w:rPr>
          <w:rFonts w:hint="default" w:ascii="Times New Roman" w:hAnsi="Times New Roman" w:cs="Times New Roman" w:eastAsiaTheme="minorEastAsia"/>
          <w:b/>
          <w:bCs/>
          <w:kern w:val="0"/>
          <w:sz w:val="28"/>
          <w:szCs w:val="28"/>
          <w:lang w:val="zh-CN" w:eastAsia="zh-CN" w:bidi="ar-SA"/>
        </w:rPr>
        <w:t>27</w:t>
      </w:r>
      <w:r>
        <w:rPr>
          <w:rFonts w:hint="default" w:ascii="Times New Roman" w:hAnsi="Times New Roman" w:cs="Times New Roman" w:eastAsiaTheme="minorEastAsia"/>
          <w:b/>
          <w:bCs/>
          <w:kern w:val="0"/>
          <w:sz w:val="28"/>
          <w:szCs w:val="28"/>
          <w:lang w:val="zh-CN" w:eastAsia="zh-CN" w:bidi="ar-SA"/>
        </w:rPr>
        <w:fldChar w:fldCharType="end"/>
      </w:r>
      <w:r>
        <w:rPr>
          <w:rFonts w:hint="default" w:ascii="Times New Roman" w:hAnsi="Times New Roman" w:cs="Times New Roman" w:eastAsiaTheme="minorEastAsia"/>
          <w:b/>
          <w:bCs/>
          <w:kern w:val="0"/>
          <w:sz w:val="28"/>
          <w:szCs w:val="28"/>
          <w:lang w:val="zh-CN" w:eastAsia="zh-CN" w:bidi="ar-SA"/>
        </w:rPr>
        <w:fldChar w:fldCharType="end"/>
      </w:r>
    </w:p>
    <w:p w14:paraId="2B5FB29E">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_Toc4674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6.1“顶天立地”能力需要提升</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_Toc4674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27</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79D072C8">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_Toc118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6.2学科优势和专业特色有所削弱</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_Toc118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27</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13ECE514">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_Toc1118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6.3办学模式与行业产业有所脱节</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_Toc1118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27</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26233B04">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_Toc1419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6.4相关引导政策支持力度不足</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_Toc1419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28</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33526828">
      <w:pPr>
        <w:pStyle w:val="10"/>
        <w:tabs>
          <w:tab w:val="right" w:leader="dot" w:pos="8306"/>
        </w:tabs>
        <w:rPr>
          <w:rFonts w:hint="default" w:ascii="Times New Roman" w:hAnsi="Times New Roman" w:cs="Times New Roman" w:eastAsiaTheme="minorEastAsia"/>
          <w:b/>
          <w:bCs/>
          <w:kern w:val="0"/>
          <w:sz w:val="28"/>
          <w:szCs w:val="28"/>
          <w:lang w:val="zh-CN" w:eastAsia="zh-CN" w:bidi="ar-SA"/>
        </w:rPr>
      </w:pPr>
      <w:r>
        <w:rPr>
          <w:rFonts w:hint="default" w:ascii="Times New Roman" w:hAnsi="Times New Roman" w:cs="Times New Roman" w:eastAsiaTheme="minorEastAsia"/>
          <w:b/>
          <w:bCs/>
          <w:kern w:val="0"/>
          <w:sz w:val="28"/>
          <w:szCs w:val="28"/>
          <w:lang w:val="zh-CN" w:eastAsia="zh-CN" w:bidi="ar-SA"/>
        </w:rPr>
        <w:fldChar w:fldCharType="begin"/>
      </w:r>
      <w:r>
        <w:rPr>
          <w:rFonts w:hint="default" w:ascii="Times New Roman" w:hAnsi="Times New Roman" w:cs="Times New Roman" w:eastAsiaTheme="minorEastAsia"/>
          <w:b/>
          <w:bCs/>
          <w:kern w:val="0"/>
          <w:sz w:val="28"/>
          <w:szCs w:val="28"/>
          <w:lang w:val="zh-CN" w:eastAsia="zh-CN" w:bidi="ar-SA"/>
        </w:rPr>
        <w:instrText xml:space="preserve"> HYPERLINK \l _Toc12802 </w:instrText>
      </w:r>
      <w:r>
        <w:rPr>
          <w:rFonts w:hint="default" w:ascii="Times New Roman" w:hAnsi="Times New Roman" w:cs="Times New Roman" w:eastAsiaTheme="minorEastAsia"/>
          <w:b/>
          <w:bCs/>
          <w:kern w:val="0"/>
          <w:sz w:val="28"/>
          <w:szCs w:val="28"/>
          <w:lang w:val="zh-CN" w:eastAsia="zh-CN" w:bidi="ar-SA"/>
        </w:rPr>
        <w:fldChar w:fldCharType="separate"/>
      </w:r>
      <w:r>
        <w:rPr>
          <w:rFonts w:hint="default" w:ascii="Times New Roman" w:hAnsi="Times New Roman" w:cs="Times New Roman" w:eastAsiaTheme="minorEastAsia"/>
          <w:b/>
          <w:bCs/>
          <w:kern w:val="0"/>
          <w:sz w:val="28"/>
          <w:szCs w:val="28"/>
          <w:lang w:val="en-US" w:eastAsia="zh-CN" w:bidi="ar-SA"/>
        </w:rPr>
        <w:t>7.推动区域特色骨干大学产教深度融合的政策建议</w:t>
      </w:r>
      <w:r>
        <w:rPr>
          <w:rFonts w:hint="default" w:ascii="Times New Roman" w:hAnsi="Times New Roman" w:cs="Times New Roman" w:eastAsiaTheme="minorEastAsia"/>
          <w:b/>
          <w:bCs/>
          <w:kern w:val="0"/>
          <w:sz w:val="28"/>
          <w:szCs w:val="28"/>
          <w:lang w:val="zh-CN" w:eastAsia="zh-CN" w:bidi="ar-SA"/>
        </w:rPr>
        <w:tab/>
      </w:r>
      <w:r>
        <w:rPr>
          <w:rFonts w:hint="default" w:ascii="Times New Roman" w:hAnsi="Times New Roman" w:cs="Times New Roman" w:eastAsiaTheme="minorEastAsia"/>
          <w:b/>
          <w:bCs/>
          <w:kern w:val="0"/>
          <w:sz w:val="28"/>
          <w:szCs w:val="28"/>
          <w:lang w:val="zh-CN" w:eastAsia="zh-CN" w:bidi="ar-SA"/>
        </w:rPr>
        <w:fldChar w:fldCharType="begin"/>
      </w:r>
      <w:r>
        <w:rPr>
          <w:rFonts w:hint="default" w:ascii="Times New Roman" w:hAnsi="Times New Roman" w:cs="Times New Roman" w:eastAsiaTheme="minorEastAsia"/>
          <w:b/>
          <w:bCs/>
          <w:kern w:val="0"/>
          <w:sz w:val="28"/>
          <w:szCs w:val="28"/>
          <w:lang w:val="zh-CN" w:eastAsia="zh-CN" w:bidi="ar-SA"/>
        </w:rPr>
        <w:instrText xml:space="preserve"> PAGEREF _Toc12802 \h </w:instrText>
      </w:r>
      <w:r>
        <w:rPr>
          <w:rFonts w:hint="default" w:ascii="Times New Roman" w:hAnsi="Times New Roman" w:cs="Times New Roman" w:eastAsiaTheme="minorEastAsia"/>
          <w:b/>
          <w:bCs/>
          <w:kern w:val="0"/>
          <w:sz w:val="28"/>
          <w:szCs w:val="28"/>
          <w:lang w:val="zh-CN" w:eastAsia="zh-CN" w:bidi="ar-SA"/>
        </w:rPr>
        <w:fldChar w:fldCharType="separate"/>
      </w:r>
      <w:r>
        <w:rPr>
          <w:rFonts w:hint="default" w:ascii="Times New Roman" w:hAnsi="Times New Roman" w:cs="Times New Roman" w:eastAsiaTheme="minorEastAsia"/>
          <w:b/>
          <w:bCs/>
          <w:kern w:val="0"/>
          <w:sz w:val="28"/>
          <w:szCs w:val="28"/>
          <w:lang w:val="zh-CN" w:eastAsia="zh-CN" w:bidi="ar-SA"/>
        </w:rPr>
        <w:t>29</w:t>
      </w:r>
      <w:r>
        <w:rPr>
          <w:rFonts w:hint="default" w:ascii="Times New Roman" w:hAnsi="Times New Roman" w:cs="Times New Roman" w:eastAsiaTheme="minorEastAsia"/>
          <w:b/>
          <w:bCs/>
          <w:kern w:val="0"/>
          <w:sz w:val="28"/>
          <w:szCs w:val="28"/>
          <w:lang w:val="zh-CN" w:eastAsia="zh-CN" w:bidi="ar-SA"/>
        </w:rPr>
        <w:fldChar w:fldCharType="end"/>
      </w:r>
      <w:r>
        <w:rPr>
          <w:rFonts w:hint="default" w:ascii="Times New Roman" w:hAnsi="Times New Roman" w:cs="Times New Roman" w:eastAsiaTheme="minorEastAsia"/>
          <w:b/>
          <w:bCs/>
          <w:kern w:val="0"/>
          <w:sz w:val="28"/>
          <w:szCs w:val="28"/>
          <w:lang w:val="zh-CN" w:eastAsia="zh-CN" w:bidi="ar-SA"/>
        </w:rPr>
        <w:fldChar w:fldCharType="end"/>
      </w:r>
    </w:p>
    <w:p w14:paraId="7F0A3A0C">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_Toc22675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7.1构建区域特色骨干大学合理评价体系</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_Toc22675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29</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45D3526C">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_Toc27954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7.2注重发挥政府的引导支持作用</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_Toc27954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30</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67DED99D">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_Toc12756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7.3注重发挥高等学校的关键引领作用</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_Toc12756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30</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6C3650B1">
      <w:pPr>
        <w:pStyle w:val="10"/>
        <w:tabs>
          <w:tab w:val="right" w:leader="dot" w:pos="8306"/>
        </w:tabs>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_Toc18976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7.4注重产教融合的运行机制创新</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_Toc18976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31</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25881663">
      <w:pPr>
        <w:pStyle w:val="10"/>
        <w:tabs>
          <w:tab w:val="right" w:leader="dot" w:pos="8306"/>
        </w:tabs>
        <w:rPr>
          <w:rFonts w:hint="default" w:ascii="Times New Roman" w:hAnsi="Times New Roman" w:cs="Times New Roman" w:eastAsiaTheme="minorEastAsia"/>
          <w:b/>
          <w:bCs/>
          <w:kern w:val="0"/>
          <w:sz w:val="28"/>
          <w:szCs w:val="28"/>
          <w:lang w:val="zh-CN" w:eastAsia="zh-CN" w:bidi="ar-SA"/>
        </w:rPr>
      </w:pPr>
      <w:r>
        <w:rPr>
          <w:rFonts w:hint="default" w:ascii="Times New Roman" w:hAnsi="Times New Roman" w:cs="Times New Roman" w:eastAsiaTheme="minorEastAsia"/>
          <w:b/>
          <w:bCs/>
          <w:kern w:val="0"/>
          <w:sz w:val="28"/>
          <w:szCs w:val="28"/>
          <w:lang w:val="zh-CN" w:eastAsia="zh-CN" w:bidi="ar-SA"/>
        </w:rPr>
        <w:fldChar w:fldCharType="begin"/>
      </w:r>
      <w:r>
        <w:rPr>
          <w:rFonts w:hint="default" w:ascii="Times New Roman" w:hAnsi="Times New Roman" w:cs="Times New Roman" w:eastAsiaTheme="minorEastAsia"/>
          <w:b/>
          <w:bCs/>
          <w:kern w:val="0"/>
          <w:sz w:val="28"/>
          <w:szCs w:val="28"/>
          <w:lang w:val="zh-CN" w:eastAsia="zh-CN" w:bidi="ar-SA"/>
        </w:rPr>
        <w:instrText xml:space="preserve"> HYPERLINK \l _Toc17816 </w:instrText>
      </w:r>
      <w:r>
        <w:rPr>
          <w:rFonts w:hint="default" w:ascii="Times New Roman" w:hAnsi="Times New Roman" w:cs="Times New Roman" w:eastAsiaTheme="minorEastAsia"/>
          <w:b/>
          <w:bCs/>
          <w:kern w:val="0"/>
          <w:sz w:val="28"/>
          <w:szCs w:val="28"/>
          <w:lang w:val="zh-CN" w:eastAsia="zh-CN" w:bidi="ar-SA"/>
        </w:rPr>
        <w:fldChar w:fldCharType="separate"/>
      </w:r>
      <w:r>
        <w:rPr>
          <w:rFonts w:hint="default" w:ascii="Times New Roman" w:hAnsi="Times New Roman" w:cs="Times New Roman" w:eastAsiaTheme="minorEastAsia"/>
          <w:b/>
          <w:bCs/>
          <w:kern w:val="0"/>
          <w:sz w:val="28"/>
          <w:szCs w:val="28"/>
          <w:lang w:val="en-US" w:eastAsia="zh-CN" w:bidi="ar-SA"/>
        </w:rPr>
        <w:t>8.结语</w:t>
      </w:r>
      <w:r>
        <w:rPr>
          <w:rFonts w:hint="default" w:ascii="Times New Roman" w:hAnsi="Times New Roman" w:cs="Times New Roman" w:eastAsiaTheme="minorEastAsia"/>
          <w:b/>
          <w:bCs/>
          <w:kern w:val="0"/>
          <w:sz w:val="28"/>
          <w:szCs w:val="28"/>
          <w:lang w:val="zh-CN" w:eastAsia="zh-CN" w:bidi="ar-SA"/>
        </w:rPr>
        <w:tab/>
      </w:r>
      <w:r>
        <w:rPr>
          <w:rFonts w:hint="default" w:ascii="Times New Roman" w:hAnsi="Times New Roman" w:cs="Times New Roman" w:eastAsiaTheme="minorEastAsia"/>
          <w:b/>
          <w:bCs/>
          <w:kern w:val="0"/>
          <w:sz w:val="28"/>
          <w:szCs w:val="28"/>
          <w:lang w:val="zh-CN" w:eastAsia="zh-CN" w:bidi="ar-SA"/>
        </w:rPr>
        <w:fldChar w:fldCharType="begin"/>
      </w:r>
      <w:r>
        <w:rPr>
          <w:rFonts w:hint="default" w:ascii="Times New Roman" w:hAnsi="Times New Roman" w:cs="Times New Roman" w:eastAsiaTheme="minorEastAsia"/>
          <w:b/>
          <w:bCs/>
          <w:kern w:val="0"/>
          <w:sz w:val="28"/>
          <w:szCs w:val="28"/>
          <w:lang w:val="zh-CN" w:eastAsia="zh-CN" w:bidi="ar-SA"/>
        </w:rPr>
        <w:instrText xml:space="preserve"> PAGEREF _Toc17816 \h </w:instrText>
      </w:r>
      <w:r>
        <w:rPr>
          <w:rFonts w:hint="default" w:ascii="Times New Roman" w:hAnsi="Times New Roman" w:cs="Times New Roman" w:eastAsiaTheme="minorEastAsia"/>
          <w:b/>
          <w:bCs/>
          <w:kern w:val="0"/>
          <w:sz w:val="28"/>
          <w:szCs w:val="28"/>
          <w:lang w:val="zh-CN" w:eastAsia="zh-CN" w:bidi="ar-SA"/>
        </w:rPr>
        <w:fldChar w:fldCharType="separate"/>
      </w:r>
      <w:r>
        <w:rPr>
          <w:rFonts w:hint="default" w:ascii="Times New Roman" w:hAnsi="Times New Roman" w:cs="Times New Roman" w:eastAsiaTheme="minorEastAsia"/>
          <w:b/>
          <w:bCs/>
          <w:kern w:val="0"/>
          <w:sz w:val="28"/>
          <w:szCs w:val="28"/>
          <w:lang w:val="zh-CN" w:eastAsia="zh-CN" w:bidi="ar-SA"/>
        </w:rPr>
        <w:t>31</w:t>
      </w:r>
      <w:r>
        <w:rPr>
          <w:rFonts w:hint="default" w:ascii="Times New Roman" w:hAnsi="Times New Roman" w:cs="Times New Roman" w:eastAsiaTheme="minorEastAsia"/>
          <w:b/>
          <w:bCs/>
          <w:kern w:val="0"/>
          <w:sz w:val="28"/>
          <w:szCs w:val="28"/>
          <w:lang w:val="zh-CN" w:eastAsia="zh-CN" w:bidi="ar-SA"/>
        </w:rPr>
        <w:fldChar w:fldCharType="end"/>
      </w:r>
      <w:r>
        <w:rPr>
          <w:rFonts w:hint="default" w:ascii="Times New Roman" w:hAnsi="Times New Roman" w:cs="Times New Roman" w:eastAsiaTheme="minorEastAsia"/>
          <w:b/>
          <w:bCs/>
          <w:kern w:val="0"/>
          <w:sz w:val="28"/>
          <w:szCs w:val="28"/>
          <w:lang w:val="zh-CN" w:eastAsia="zh-CN" w:bidi="ar-SA"/>
        </w:rPr>
        <w:fldChar w:fldCharType="end"/>
      </w:r>
    </w:p>
    <w:p w14:paraId="5A5BE328">
      <w:pPr>
        <w:pStyle w:val="10"/>
        <w:tabs>
          <w:tab w:val="right" w:leader="dot" w:pos="8306"/>
        </w:tabs>
        <w:rPr>
          <w:rFonts w:hint="default" w:ascii="Times New Roman" w:hAnsi="Times New Roman" w:cs="Times New Roman" w:eastAsiaTheme="minorEastAsia"/>
          <w:b/>
          <w:bCs/>
          <w:kern w:val="0"/>
          <w:sz w:val="28"/>
          <w:szCs w:val="28"/>
          <w:lang w:val="zh-CN" w:eastAsia="zh-CN" w:bidi="ar-SA"/>
        </w:rPr>
      </w:pPr>
      <w:r>
        <w:rPr>
          <w:rFonts w:hint="default" w:ascii="Times New Roman" w:hAnsi="Times New Roman" w:cs="Times New Roman" w:eastAsiaTheme="minorEastAsia"/>
          <w:b/>
          <w:bCs/>
          <w:kern w:val="0"/>
          <w:sz w:val="28"/>
          <w:szCs w:val="28"/>
          <w:lang w:val="zh-CN" w:eastAsia="zh-CN" w:bidi="ar-SA"/>
        </w:rPr>
        <w:fldChar w:fldCharType="begin"/>
      </w:r>
      <w:r>
        <w:rPr>
          <w:rFonts w:hint="default" w:ascii="Times New Roman" w:hAnsi="Times New Roman" w:cs="Times New Roman" w:eastAsiaTheme="minorEastAsia"/>
          <w:b/>
          <w:bCs/>
          <w:kern w:val="0"/>
          <w:sz w:val="28"/>
          <w:szCs w:val="28"/>
          <w:lang w:val="zh-CN" w:eastAsia="zh-CN" w:bidi="ar-SA"/>
        </w:rPr>
        <w:instrText xml:space="preserve"> HYPERLINK \l _Toc24906 </w:instrText>
      </w:r>
      <w:r>
        <w:rPr>
          <w:rFonts w:hint="default" w:ascii="Times New Roman" w:hAnsi="Times New Roman" w:cs="Times New Roman" w:eastAsiaTheme="minorEastAsia"/>
          <w:b/>
          <w:bCs/>
          <w:kern w:val="0"/>
          <w:sz w:val="28"/>
          <w:szCs w:val="28"/>
          <w:lang w:val="zh-CN" w:eastAsia="zh-CN" w:bidi="ar-SA"/>
        </w:rPr>
        <w:fldChar w:fldCharType="separate"/>
      </w:r>
      <w:r>
        <w:rPr>
          <w:rFonts w:hint="default" w:ascii="Times New Roman" w:hAnsi="Times New Roman" w:cs="Times New Roman" w:eastAsiaTheme="minorEastAsia"/>
          <w:b/>
          <w:bCs/>
          <w:kern w:val="0"/>
          <w:sz w:val="28"/>
          <w:szCs w:val="28"/>
          <w:lang w:val="zh-CN" w:eastAsia="zh-CN" w:bidi="ar-SA"/>
        </w:rPr>
        <w:t>参考文献：</w:t>
      </w:r>
      <w:r>
        <w:rPr>
          <w:rFonts w:hint="default" w:ascii="Times New Roman" w:hAnsi="Times New Roman" w:cs="Times New Roman" w:eastAsiaTheme="minorEastAsia"/>
          <w:b/>
          <w:bCs/>
          <w:kern w:val="0"/>
          <w:sz w:val="28"/>
          <w:szCs w:val="28"/>
          <w:lang w:val="zh-CN" w:eastAsia="zh-CN" w:bidi="ar-SA"/>
        </w:rPr>
        <w:tab/>
      </w:r>
      <w:r>
        <w:rPr>
          <w:rFonts w:hint="default" w:ascii="Times New Roman" w:hAnsi="Times New Roman" w:cs="Times New Roman" w:eastAsiaTheme="minorEastAsia"/>
          <w:b/>
          <w:bCs/>
          <w:kern w:val="0"/>
          <w:sz w:val="28"/>
          <w:szCs w:val="28"/>
          <w:lang w:val="zh-CN" w:eastAsia="zh-CN" w:bidi="ar-SA"/>
        </w:rPr>
        <w:fldChar w:fldCharType="begin"/>
      </w:r>
      <w:r>
        <w:rPr>
          <w:rFonts w:hint="default" w:ascii="Times New Roman" w:hAnsi="Times New Roman" w:cs="Times New Roman" w:eastAsiaTheme="minorEastAsia"/>
          <w:b/>
          <w:bCs/>
          <w:kern w:val="0"/>
          <w:sz w:val="28"/>
          <w:szCs w:val="28"/>
          <w:lang w:val="zh-CN" w:eastAsia="zh-CN" w:bidi="ar-SA"/>
        </w:rPr>
        <w:instrText xml:space="preserve"> PAGEREF _Toc24906 \h </w:instrText>
      </w:r>
      <w:r>
        <w:rPr>
          <w:rFonts w:hint="default" w:ascii="Times New Roman" w:hAnsi="Times New Roman" w:cs="Times New Roman" w:eastAsiaTheme="minorEastAsia"/>
          <w:b/>
          <w:bCs/>
          <w:kern w:val="0"/>
          <w:sz w:val="28"/>
          <w:szCs w:val="28"/>
          <w:lang w:val="zh-CN" w:eastAsia="zh-CN" w:bidi="ar-SA"/>
        </w:rPr>
        <w:fldChar w:fldCharType="separate"/>
      </w:r>
      <w:r>
        <w:rPr>
          <w:rFonts w:hint="default" w:ascii="Times New Roman" w:hAnsi="Times New Roman" w:cs="Times New Roman" w:eastAsiaTheme="minorEastAsia"/>
          <w:b/>
          <w:bCs/>
          <w:kern w:val="0"/>
          <w:sz w:val="28"/>
          <w:szCs w:val="28"/>
          <w:lang w:val="zh-CN" w:eastAsia="zh-CN" w:bidi="ar-SA"/>
        </w:rPr>
        <w:t>32</w:t>
      </w:r>
      <w:r>
        <w:rPr>
          <w:rFonts w:hint="default" w:ascii="Times New Roman" w:hAnsi="Times New Roman" w:cs="Times New Roman" w:eastAsiaTheme="minorEastAsia"/>
          <w:b/>
          <w:bCs/>
          <w:kern w:val="0"/>
          <w:sz w:val="28"/>
          <w:szCs w:val="28"/>
          <w:lang w:val="zh-CN" w:eastAsia="zh-CN" w:bidi="ar-SA"/>
        </w:rPr>
        <w:fldChar w:fldCharType="end"/>
      </w:r>
      <w:r>
        <w:rPr>
          <w:rFonts w:hint="default" w:ascii="Times New Roman" w:hAnsi="Times New Roman" w:cs="Times New Roman" w:eastAsiaTheme="minorEastAsia"/>
          <w:b/>
          <w:bCs/>
          <w:kern w:val="0"/>
          <w:sz w:val="28"/>
          <w:szCs w:val="28"/>
          <w:lang w:val="zh-CN" w:eastAsia="zh-CN" w:bidi="ar-SA"/>
        </w:rPr>
        <w:fldChar w:fldCharType="end"/>
      </w:r>
    </w:p>
    <w:p w14:paraId="7E3E1099">
      <w:pPr>
        <w:pStyle w:val="10"/>
        <w:tabs>
          <w:tab w:val="right" w:leader="dot" w:pos="8306"/>
        </w:tabs>
        <w:rPr>
          <w:rFonts w:hint="default" w:ascii="Times New Roman" w:hAnsi="Times New Roman" w:cs="Times New Roman" w:eastAsiaTheme="minorEastAsia"/>
          <w:sz w:val="24"/>
          <w:szCs w:val="24"/>
        </w:rPr>
      </w:pPr>
      <w:r>
        <w:rPr>
          <w:rFonts w:hint="default" w:ascii="Times New Roman" w:hAnsi="Times New Roman" w:cs="Times New Roman"/>
          <w:bCs/>
          <w:lang w:val="zh-CN"/>
        </w:rPr>
        <w:fldChar w:fldCharType="end"/>
      </w:r>
    </w:p>
    <w:p w14:paraId="29508390">
      <w:pPr>
        <w:pStyle w:val="6"/>
        <w:numPr>
          <w:ilvl w:val="0"/>
          <w:numId w:val="0"/>
        </w:numPr>
        <w:spacing w:line="360" w:lineRule="auto"/>
        <w:outlineLvl w:val="0"/>
        <w:rPr>
          <w:rFonts w:hint="eastAsia" w:ascii="黑体" w:hAnsi="黑体" w:eastAsia="黑体" w:cs="黑体"/>
          <w:bCs/>
          <w:sz w:val="28"/>
          <w:szCs w:val="28"/>
          <w:lang w:val="en-US" w:eastAsia="zh-CN"/>
        </w:rPr>
        <w:sectPr>
          <w:footerReference r:id="rId3" w:type="default"/>
          <w:pgSz w:w="11906" w:h="16838"/>
          <w:pgMar w:top="1440" w:right="1803" w:bottom="1440" w:left="1803" w:header="794" w:footer="907" w:gutter="0"/>
          <w:pgNumType w:fmt="decimal" w:start="1"/>
          <w:cols w:space="0" w:num="1"/>
          <w:docGrid w:type="lines" w:linePitch="312" w:charSpace="0"/>
        </w:sectPr>
      </w:pPr>
    </w:p>
    <w:p w14:paraId="27D42A01">
      <w:pPr>
        <w:pStyle w:val="6"/>
        <w:numPr>
          <w:ilvl w:val="0"/>
          <w:numId w:val="0"/>
        </w:numPr>
        <w:spacing w:line="360" w:lineRule="auto"/>
        <w:outlineLvl w:val="0"/>
        <w:rPr>
          <w:rFonts w:hint="eastAsia" w:ascii="黑体" w:hAnsi="黑体" w:eastAsia="黑体" w:cs="黑体"/>
          <w:bCs/>
          <w:sz w:val="28"/>
          <w:szCs w:val="28"/>
          <w:lang w:val="en-US" w:eastAsia="zh-CN"/>
        </w:rPr>
      </w:pPr>
      <w:bookmarkStart w:id="0" w:name="_Toc28830"/>
      <w:r>
        <w:rPr>
          <w:rFonts w:hint="eastAsia" w:ascii="黑体" w:hAnsi="黑体" w:eastAsia="黑体" w:cs="黑体"/>
          <w:bCs/>
          <w:sz w:val="28"/>
          <w:szCs w:val="28"/>
          <w:lang w:val="en-US" w:eastAsia="zh-CN"/>
        </w:rPr>
        <w:t>1.绪论</w:t>
      </w:r>
      <w:bookmarkEnd w:id="0"/>
    </w:p>
    <w:p w14:paraId="0CEEB303">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特色骨干大学是河南省对原行业高水平大学（指具有显著行业特色和学科优势的高校，如农业、林业、水利、地质、矿产、石油、电力、通信、化工、建筑、交通、财经、政法、传媒等多领域多类型高校）的独特称谓，长期依托于行业，主要服务于行业，在其长期办学过程中形成了与行业产业密切相关的办学优势和学科特色，以强有力的人才和科技支撑成为区域经济社会发展的行业引领和中坚力量。</w:t>
      </w:r>
    </w:p>
    <w:p w14:paraId="66F8E550">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产教融合是在政府主导下的教育界与产业界的深度合作，是服务大国崛起及国家区域经济发展的重要保障，更是高校人才培养质量提升的必然选择。高等教育产教融合的目标是通过整合校、企、政等多方优势资源和力量，实现教育链、人才链与产业链、创新链等“四链融合”，从而彻底解决教育供给侧和产业需求侧的“两张皮”问题。</w:t>
      </w:r>
    </w:p>
    <w:p w14:paraId="34D5CB55">
      <w:pPr>
        <w:pStyle w:val="6"/>
        <w:spacing w:line="360" w:lineRule="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 xml:space="preserve">    河南是经济大省、农业大省、教育人口大省和新型工业大省，实现供给侧结构性改革和经济转型升级目标，需要大量特色、专业、创新型人才和创新性科技成果支撑,更需要产教深度融合，相互促进，相得益彰。多年来，我省以河南农业大学、河南科技大学、河南师范大学等为代表的特色骨干大学，面向产业发展和转型发展需求，充分发挥人才和科技优势，在产教融合方面做出了重要的贡献，办学水平和人才培养质量不断提高，学科专业结构进一步优化，科技创新能力持续提升，成果转化能力不断增强，已成为支撑河南经济社会发展的重要力量。</w:t>
      </w:r>
    </w:p>
    <w:p w14:paraId="75D6D4EC">
      <w:pPr>
        <w:pStyle w:val="6"/>
        <w:spacing w:line="360" w:lineRule="auto"/>
        <w:outlineLvl w:val="0"/>
        <w:rPr>
          <w:rFonts w:hint="eastAsia" w:ascii="黑体" w:hAnsi="黑体" w:eastAsia="黑体" w:cs="黑体"/>
          <w:bCs/>
          <w:sz w:val="28"/>
          <w:szCs w:val="28"/>
          <w:lang w:val="en-US" w:eastAsia="zh-CN"/>
        </w:rPr>
      </w:pPr>
      <w:bookmarkStart w:id="1" w:name="_Toc28825"/>
      <w:r>
        <w:rPr>
          <w:rFonts w:hint="eastAsia" w:ascii="黑体" w:hAnsi="黑体" w:eastAsia="黑体" w:cs="黑体"/>
          <w:bCs/>
          <w:sz w:val="28"/>
          <w:szCs w:val="28"/>
        </w:rPr>
        <w:t>2.区域特色骨干大学产教融合的</w:t>
      </w:r>
      <w:r>
        <w:rPr>
          <w:rFonts w:hint="eastAsia" w:ascii="黑体" w:hAnsi="黑体" w:eastAsia="黑体" w:cs="黑体"/>
          <w:bCs/>
          <w:sz w:val="28"/>
          <w:szCs w:val="28"/>
          <w:lang w:val="en-US" w:eastAsia="zh-CN"/>
        </w:rPr>
        <w:t>措施</w:t>
      </w:r>
      <w:bookmarkEnd w:id="1"/>
    </w:p>
    <w:p w14:paraId="4533EF97">
      <w:pPr>
        <w:pStyle w:val="6"/>
        <w:spacing w:line="360" w:lineRule="auto"/>
        <w:outlineLvl w:val="1"/>
        <w:rPr>
          <w:rFonts w:hint="eastAsia" w:ascii="宋体" w:hAnsi="宋体" w:eastAsia="宋体" w:cs="宋体"/>
          <w:b/>
          <w:bCs w:val="0"/>
          <w:sz w:val="24"/>
          <w:szCs w:val="24"/>
          <w:lang w:val="en-US" w:eastAsia="zh-CN"/>
        </w:rPr>
      </w:pPr>
      <w:bookmarkStart w:id="2" w:name="_Toc25219"/>
      <w:r>
        <w:rPr>
          <w:rFonts w:hint="eastAsia" w:ascii="宋体" w:hAnsi="宋体" w:eastAsia="宋体" w:cs="宋体"/>
          <w:b/>
          <w:bCs w:val="0"/>
          <w:sz w:val="24"/>
          <w:szCs w:val="24"/>
          <w:lang w:val="en-US" w:eastAsia="zh-CN"/>
        </w:rPr>
        <w:t>2.1以人为本，培养社会需要人才</w:t>
      </w:r>
      <w:bookmarkEnd w:id="2"/>
    </w:p>
    <w:p w14:paraId="1E351D7A">
      <w:pPr>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河南省</w:t>
      </w:r>
      <w:r>
        <w:rPr>
          <w:rFonts w:hint="eastAsia" w:ascii="宋体" w:hAnsi="宋体" w:eastAsia="宋体" w:cs="宋体"/>
          <w:bCs/>
          <w:sz w:val="24"/>
          <w:szCs w:val="24"/>
        </w:rPr>
        <w:t>特色骨干大学</w:t>
      </w:r>
      <w:r>
        <w:rPr>
          <w:rFonts w:hint="eastAsia" w:ascii="宋体" w:hAnsi="宋体" w:eastAsia="宋体" w:cs="宋体"/>
          <w:bCs/>
          <w:sz w:val="24"/>
          <w:szCs w:val="24"/>
          <w:lang w:val="en-US" w:eastAsia="zh-CN"/>
        </w:rPr>
        <w:t>都坚持把“办好人民满意的教育”作为立校之本，积极贯彻教育行政主管部门的顶层设计，制定切实可行发展规划，改革体制机制，以培养社会需要的优秀人才为根本，以服务区域经济社会发展为支撑，增强特色发展能力，以特色发展带动全面发展。</w:t>
      </w:r>
    </w:p>
    <w:p w14:paraId="7907874F">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河南农业大学通过实施以核心课程建设、卓越农林人才培养为引领的教学改革，先后多次优化培养方案,全力构建拔尖创新型、复合应用型、技能应用型“三位一体”的卓越农林人才培养体系，成功入选国家首批卓越农林人才教育培养计划改革试点高校。在“三农”事业主战场的各条战线上，活跃着河南农大培养的近20万名毕业生。校友秦英林创办的牧原食品股份有限公司是目前全国最大的全自养生猪供应商，其本人荣获中国青年五四奖章等称号，连续多年稳居“河南富豪榜”榜首。</w:t>
      </w:r>
    </w:p>
    <w:p w14:paraId="5597E63B">
      <w:pPr>
        <w:keepNext w:val="0"/>
        <w:keepLines w:val="0"/>
        <w:widowControl/>
        <w:suppressLineNumbers w:val="0"/>
        <w:spacing w:line="360" w:lineRule="auto"/>
        <w:ind w:firstLine="480" w:firstLineChars="200"/>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河南科技大学设有全国唯一的轴承专业方向，为我国轴承行业的人才培养和技术进步做出了杰出贡献。依托洛阳独特的区位优势，与洛阳轴研所、中机十院和洛阳 LYC 形成了“一校、一所、一院、一厂”的轴承工业产学研用创新体系，被誉为“中国轴承行业的黄埔军校”。半个世纪的办学历程中，培养了中国轴承工业协会理事长、“哈瓦洛”三大轴承厂及洛阳轴研所总工程师在内的 5000余名毕业生。目前，轴承行业内 80%以上中高级技术骨干均毕业于本专业。秉承科教融合、产教融合的办学理念，以科研课题为纽带，在企业建立研究生科研工作站，聘请企业导师，校企联合双导师指导研究生。近 5 年，共同培养了轴承方向学术和专业学位研究生 45 名，参与完成 15 项国家重点研发计划和军工专项。突出科研育人、以研促学、以研促创的研究生育人理念，显著提高了研究生培养质量，受到用人单位的高度赞誉。</w:t>
      </w:r>
    </w:p>
    <w:p w14:paraId="6A6372B5">
      <w:pPr>
        <w:pStyle w:val="6"/>
        <w:spacing w:line="360" w:lineRule="auto"/>
        <w:outlineLvl w:val="1"/>
        <w:rPr>
          <w:rFonts w:hint="eastAsia" w:ascii="宋体" w:hAnsi="宋体" w:eastAsia="宋体" w:cs="宋体"/>
          <w:b/>
          <w:bCs w:val="0"/>
          <w:sz w:val="24"/>
          <w:szCs w:val="24"/>
          <w:lang w:val="en-US" w:eastAsia="zh-CN"/>
        </w:rPr>
      </w:pPr>
      <w:bookmarkStart w:id="3" w:name="_Toc12005"/>
      <w:r>
        <w:rPr>
          <w:rFonts w:hint="eastAsia" w:ascii="宋体" w:hAnsi="宋体" w:eastAsia="宋体" w:cs="宋体"/>
          <w:b/>
          <w:bCs w:val="0"/>
          <w:sz w:val="24"/>
          <w:szCs w:val="24"/>
          <w:lang w:val="en-US" w:eastAsia="zh-CN"/>
        </w:rPr>
        <w:t>2.2服务至上，支撑区域经济发展</w:t>
      </w:r>
      <w:bookmarkEnd w:id="3"/>
    </w:p>
    <w:p w14:paraId="2C6E9839">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河南省</w:t>
      </w:r>
      <w:r>
        <w:rPr>
          <w:rFonts w:hint="eastAsia" w:ascii="宋体" w:hAnsi="宋体" w:eastAsia="宋体" w:cs="宋体"/>
          <w:bCs/>
          <w:sz w:val="24"/>
          <w:szCs w:val="24"/>
        </w:rPr>
        <w:t>特色骨干大学</w:t>
      </w:r>
      <w:r>
        <w:rPr>
          <w:rFonts w:hint="eastAsia" w:ascii="宋体" w:hAnsi="宋体" w:eastAsia="宋体" w:cs="宋体"/>
          <w:bCs/>
          <w:sz w:val="24"/>
          <w:szCs w:val="24"/>
          <w:lang w:val="en-US" w:eastAsia="zh-CN"/>
        </w:rPr>
        <w:t>长期坚持“以服务求支持、以贡献求发展”理念，以决策咨询、技术指导、信息服务、人才培养等多种形式，强力支撑区域经济社会发展。</w:t>
      </w:r>
    </w:p>
    <w:p w14:paraId="59C21D99">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河南师范大学联合全国山药科研、管理、生产、加工、流通、销售等产业主体资源，建立“国家山药产业科技创新联盟”打造山药产业各方信息交流平台和技术创新协作平台。目前，联盟已收集全国1000 多份农家栽培品种和100余份野生资源，培育20 个山药新品种，建立了脱毒快繁技术体系，相关专利技术和绿色生物防控技术在全国应用，保障了我国800 万亩山药的稳产、高产，选育的金银花新品种“豫金1 号”等8 个道地药材新品种，在全国累计种植面积超50 万亩，让种植户增收超过10 亿元。对提高我国山药的质量及品质、助推山药产业的可持续发展具有重要意义。事迹被中央电视台、中国组织人事报、人民日报、学习强国等多家媒体宣传报道。</w:t>
      </w:r>
    </w:p>
    <w:p w14:paraId="16CF40CD">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河南科技大学与中信重工联合开发的土压平衡式盾构机成功应用于天津地铁等大型工程；完成了世界三大著名音乐厅之一——上海音乐厅平移70米的高复杂工程项目；全系列轮式拖拉机首次实现了数字化设计制造，开发的产品已成为一拖集团的主导产品；攻克了国产柴油机油耗高、污染环境等技术难题，在中国一拖公司、常柴集团等企业成功应用。参与完成的航天导航轴承项目，研究成果已应用于“神舟”系列飞船、“嫦娥”、“北斗”等多种型号航天器上，获得中国机械工业科技进步一等奖。</w:t>
      </w:r>
    </w:p>
    <w:p w14:paraId="18E61C45">
      <w:pPr>
        <w:pStyle w:val="6"/>
        <w:spacing w:line="360" w:lineRule="auto"/>
        <w:outlineLvl w:val="1"/>
        <w:rPr>
          <w:rFonts w:hint="eastAsia" w:ascii="宋体" w:hAnsi="宋体" w:eastAsia="宋体" w:cs="宋体"/>
          <w:b/>
          <w:bCs w:val="0"/>
          <w:sz w:val="24"/>
          <w:szCs w:val="24"/>
          <w:lang w:val="en-US" w:eastAsia="zh-CN"/>
        </w:rPr>
      </w:pPr>
      <w:bookmarkStart w:id="4" w:name="_Toc15437"/>
      <w:r>
        <w:rPr>
          <w:rFonts w:hint="eastAsia" w:ascii="宋体" w:hAnsi="宋体" w:eastAsia="宋体" w:cs="宋体"/>
          <w:b/>
          <w:bCs w:val="0"/>
          <w:sz w:val="24"/>
          <w:szCs w:val="24"/>
          <w:lang w:val="en-US" w:eastAsia="zh-CN"/>
        </w:rPr>
        <w:t>2.3深度融合，促进办学水平提升</w:t>
      </w:r>
      <w:bookmarkEnd w:id="4"/>
    </w:p>
    <w:p w14:paraId="2FCB68BB">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河南省是全国最早启动省级“2011计划”的省份之一，协同创新中心目前有国家级1个，省级 40多 个，分布在多个特色骨干大学，协同创新中心已经成为这些高校提升学科发展科技创新的新引擎、产教融合校企合作的高平台，很好地促进了政产学研用的融合与办学水平的提升。</w:t>
      </w:r>
    </w:p>
    <w:p w14:paraId="7A7288DE">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河南农业大学长期坚持“厚生丰民”办学理念，联合涉农高校、科研单位和农业产业化龙头企业，围绕产前、产中、产后全产业链条全面开展协同创新，多次获得省政府粮食丰产奖金，被评为全国农业科技促进年活动先进单位，获得全省惟一的中国产学研合作促进奖，并荣获全省高校惟一的全国专业技术人才先进集体荣誉称号。也由于前期协作基础好、持续时间长、攻关团队稳、建设成效大，才能首批顺利入选国家“2011计划”，“顶天立地”真正得到了国家和社会的认可。为打造区域发展类协同创新中心的样板、树立农业领域协同创新中心的标杆，学校还建设了2个3万亩的 “2011协同创新现代农业试验区”、5个粮食作物高产高效“一田三区”、50个产粮大县示范推广基地。</w:t>
      </w:r>
    </w:p>
    <w:p w14:paraId="0AC937E3">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河南科技大学的第一附属医院以“互联网+医疗”为契机，率先在河南省建设互联网医院，以远程医疗为载体，以贫困山区为“实验田”，构建了市、县、乡、村四级分级诊疗体系，搭建远程医疗协作网，实现优质医疗资源下沉，做到专家在线与村医共同为患者服务。通过与洛阳市共管共享体育中心、共建新区医院、共建新区图书馆，丰富了办学资源，增强了办学实力。通过与政府协同共建，争取国家国防科技工业局等与河南省人民政府的共建支持，深化和拓展学校与河南省国防科技工业局、洛阳市以及其他市县政府的共建工作，全方位服务区域经济建设；通过与行业协同共建，强化、拓展与机械工业系统、农业系统、医药卫生系统、国防科技工业系统等行业的联系与合作，建立多行业、多形式的产学研合作联盟，实现与行业发展的互利共赢；通过国际协同共建，以优势特色学科和重大项目为依托，开展与国际一流大学和科研机构的共建工作，推进了学校国际化进程。</w:t>
      </w:r>
    </w:p>
    <w:p w14:paraId="2F11415F">
      <w:pPr>
        <w:pStyle w:val="6"/>
        <w:spacing w:line="360" w:lineRule="auto"/>
        <w:outlineLvl w:val="1"/>
        <w:rPr>
          <w:rFonts w:hint="eastAsia" w:hAnsi="宋体" w:eastAsia="宋体" w:cs="宋体"/>
          <w:b/>
          <w:bCs w:val="0"/>
          <w:sz w:val="24"/>
          <w:szCs w:val="24"/>
          <w:lang w:val="en-US" w:eastAsia="zh-CN"/>
        </w:rPr>
      </w:pPr>
      <w:bookmarkStart w:id="5" w:name="_Toc29090"/>
      <w:r>
        <w:rPr>
          <w:rFonts w:hint="eastAsia" w:ascii="宋体" w:hAnsi="宋体" w:eastAsia="宋体" w:cs="宋体"/>
          <w:b/>
          <w:bCs w:val="0"/>
          <w:sz w:val="24"/>
          <w:szCs w:val="24"/>
          <w:lang w:val="en-US" w:eastAsia="zh-CN"/>
        </w:rPr>
        <w:t>2.4健全制度，规范融合发展环境</w:t>
      </w:r>
      <w:bookmarkEnd w:id="5"/>
    </w:p>
    <w:p w14:paraId="6C5CB62F">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 w:val="0"/>
          <w:bCs/>
          <w:kern w:val="2"/>
          <w:sz w:val="24"/>
          <w:szCs w:val="24"/>
          <w:lang w:val="en-US" w:eastAsia="zh-CN" w:bidi="ar-SA"/>
        </w:rPr>
        <w:t>有效的管理是实现产教融合的必要条件。首先，制定产教融合主体近期和远期的发展规划，统一部署，做到协同目标明确，工作有的放矢，避免重复建设和资源浪费。其次，建立高素质的管理队伍，按照精干、高效的原则选配管理工作人员，强化管理人员的服务意识，营造和谐的工作环境。其三，制定完善的制度体系，包括组织管理体制、人事管理制度、资源共享制度、人才培养和科研运行管理制度、评价制度、分配制度等等，对产教融合过程实施统一规范的管理。通过各种规章制度明确各方责权和人员、资源、成果、知识产权等归属，规范协同行为，实现开放共享、持续发展。河南农业大学先后出台《科技创新团队建设与管理办法》</w:t>
      </w:r>
      <w:r>
        <w:rPr>
          <w:rFonts w:hint="eastAsia" w:ascii="宋体" w:hAnsi="宋体" w:eastAsia="宋体" w:cs="宋体"/>
          <w:b w:val="0"/>
          <w:bCs/>
          <w:kern w:val="2"/>
          <w:sz w:val="24"/>
          <w:szCs w:val="24"/>
          <w:lang w:val="en-US" w:eastAsia="zh-CN" w:bidi="ar-SA"/>
        </w:rPr>
        <w:fldChar w:fldCharType="begin"/>
      </w:r>
      <w:r>
        <w:rPr>
          <w:rFonts w:hint="eastAsia" w:ascii="宋体" w:hAnsi="宋体" w:eastAsia="宋体" w:cs="宋体"/>
          <w:b w:val="0"/>
          <w:bCs/>
          <w:kern w:val="2"/>
          <w:sz w:val="24"/>
          <w:szCs w:val="24"/>
          <w:lang w:val="en-US" w:eastAsia="zh-CN" w:bidi="ar-SA"/>
        </w:rPr>
        <w:instrText xml:space="preserve"> HYPERLINK "https://kjc.henau.edu.cn/a/zhengcefagui/20230506/5452.html" \o "河南农业大学 科技创新团队考核评价实施细则（修订）" </w:instrText>
      </w:r>
      <w:r>
        <w:rPr>
          <w:rFonts w:hint="eastAsia" w:ascii="宋体" w:hAnsi="宋体" w:eastAsia="宋体" w:cs="宋体"/>
          <w:b w:val="0"/>
          <w:bCs/>
          <w:kern w:val="2"/>
          <w:sz w:val="24"/>
          <w:szCs w:val="24"/>
          <w:lang w:val="en-US" w:eastAsia="zh-CN" w:bidi="ar-SA"/>
        </w:rPr>
        <w:fldChar w:fldCharType="separate"/>
      </w:r>
      <w:r>
        <w:rPr>
          <w:rFonts w:hint="eastAsia" w:ascii="宋体" w:hAnsi="宋体" w:eastAsia="宋体" w:cs="宋体"/>
          <w:b w:val="0"/>
          <w:bCs/>
          <w:kern w:val="2"/>
          <w:sz w:val="24"/>
          <w:szCs w:val="24"/>
          <w:lang w:val="en-US" w:eastAsia="zh-CN" w:bidi="ar-SA"/>
        </w:rPr>
        <w:t> 《科技创新团队考核评价实施细则》</w:t>
      </w:r>
      <w:r>
        <w:rPr>
          <w:rFonts w:hint="eastAsia" w:ascii="宋体" w:hAnsi="宋体" w:eastAsia="宋体" w:cs="宋体"/>
          <w:b w:val="0"/>
          <w:bCs/>
          <w:kern w:val="2"/>
          <w:sz w:val="24"/>
          <w:szCs w:val="24"/>
          <w:lang w:val="en-US" w:eastAsia="zh-CN" w:bidi="ar-SA"/>
        </w:rPr>
        <w:fldChar w:fldCharType="end"/>
      </w:r>
      <w:r>
        <w:rPr>
          <w:rFonts w:hint="eastAsia" w:ascii="宋体" w:hAnsi="宋体" w:eastAsia="宋体" w:cs="宋体"/>
          <w:b w:val="0"/>
          <w:bCs/>
          <w:kern w:val="2"/>
          <w:sz w:val="24"/>
          <w:szCs w:val="24"/>
          <w:lang w:val="en-US" w:eastAsia="zh-CN" w:bidi="ar-SA"/>
        </w:rPr>
        <w:t>《</w:t>
      </w:r>
      <w:r>
        <w:rPr>
          <w:rFonts w:hint="eastAsia" w:ascii="宋体" w:hAnsi="宋体" w:eastAsia="宋体" w:cs="宋体"/>
          <w:b w:val="0"/>
          <w:bCs/>
          <w:kern w:val="2"/>
          <w:sz w:val="24"/>
          <w:szCs w:val="24"/>
          <w:lang w:val="en-US" w:eastAsia="zh-CN" w:bidi="ar-SA"/>
        </w:rPr>
        <w:fldChar w:fldCharType="begin"/>
      </w:r>
      <w:r>
        <w:rPr>
          <w:rFonts w:hint="eastAsia" w:ascii="宋体" w:hAnsi="宋体" w:eastAsia="宋体" w:cs="宋体"/>
          <w:b w:val="0"/>
          <w:bCs/>
          <w:kern w:val="2"/>
          <w:sz w:val="24"/>
          <w:szCs w:val="24"/>
          <w:lang w:val="en-US" w:eastAsia="zh-CN" w:bidi="ar-SA"/>
        </w:rPr>
        <w:instrText xml:space="preserve"> HYPERLINK "https://kjc.henau.edu.cn/a/zhengcefagui/xiaonazhengce/20220311/4678.html" \o "河南农业大学科技创新基金实施办法（修订）" </w:instrText>
      </w:r>
      <w:r>
        <w:rPr>
          <w:rFonts w:hint="eastAsia" w:ascii="宋体" w:hAnsi="宋体" w:eastAsia="宋体" w:cs="宋体"/>
          <w:b w:val="0"/>
          <w:bCs/>
          <w:kern w:val="2"/>
          <w:sz w:val="24"/>
          <w:szCs w:val="24"/>
          <w:lang w:val="en-US" w:eastAsia="zh-CN" w:bidi="ar-SA"/>
        </w:rPr>
        <w:fldChar w:fldCharType="separate"/>
      </w:r>
      <w:r>
        <w:rPr>
          <w:rFonts w:hint="eastAsia" w:ascii="宋体" w:hAnsi="宋体" w:eastAsia="宋体" w:cs="宋体"/>
          <w:b w:val="0"/>
          <w:bCs/>
          <w:kern w:val="2"/>
          <w:sz w:val="24"/>
          <w:szCs w:val="24"/>
          <w:lang w:val="en-US" w:eastAsia="zh-CN" w:bidi="ar-SA"/>
        </w:rPr>
        <w:t>科技创新基金实施办法</w:t>
      </w:r>
      <w:r>
        <w:rPr>
          <w:rFonts w:hint="eastAsia" w:ascii="宋体" w:hAnsi="宋体" w:eastAsia="宋体" w:cs="宋体"/>
          <w:b w:val="0"/>
          <w:bCs/>
          <w:kern w:val="2"/>
          <w:sz w:val="24"/>
          <w:szCs w:val="24"/>
          <w:lang w:val="en-US" w:eastAsia="zh-CN" w:bidi="ar-SA"/>
        </w:rPr>
        <w:fldChar w:fldCharType="end"/>
      </w:r>
      <w:r>
        <w:rPr>
          <w:rFonts w:hint="eastAsia" w:ascii="宋体" w:hAnsi="宋体" w:eastAsia="宋体" w:cs="宋体"/>
          <w:b w:val="0"/>
          <w:bCs/>
          <w:kern w:val="2"/>
          <w:sz w:val="24"/>
          <w:szCs w:val="24"/>
          <w:lang w:val="en-US" w:eastAsia="zh-CN" w:bidi="ar-SA"/>
        </w:rPr>
        <w:t>》《科技成果转化管理办法》《关于进一步加强社会服务工作的意见》《服务乡村振兴战略行动计划</w:t>
      </w:r>
      <w:r>
        <w:rPr>
          <w:rFonts w:hint="eastAsia" w:hAnsi="宋体" w:eastAsia="宋体" w:cs="宋体"/>
          <w:b w:val="0"/>
          <w:bCs/>
          <w:kern w:val="2"/>
          <w:sz w:val="24"/>
          <w:szCs w:val="24"/>
          <w:lang w:val="en-US" w:eastAsia="zh-CN" w:bidi="ar-SA"/>
        </w:rPr>
        <w:t>》等文件，对</w:t>
      </w:r>
      <w:r>
        <w:rPr>
          <w:rFonts w:hint="eastAsia" w:ascii="宋体" w:hAnsi="宋体" w:eastAsia="宋体" w:cs="宋体"/>
          <w:b w:val="0"/>
          <w:bCs/>
          <w:kern w:val="2"/>
          <w:sz w:val="24"/>
          <w:szCs w:val="24"/>
          <w:lang w:val="en-US" w:eastAsia="zh-CN" w:bidi="ar-SA"/>
        </w:rPr>
        <w:t>产教融合</w:t>
      </w:r>
      <w:r>
        <w:rPr>
          <w:rFonts w:hint="eastAsia" w:hAnsi="宋体" w:eastAsia="宋体" w:cs="宋体"/>
          <w:b w:val="0"/>
          <w:bCs/>
          <w:kern w:val="2"/>
          <w:sz w:val="24"/>
          <w:szCs w:val="24"/>
          <w:lang w:val="en-US" w:eastAsia="zh-CN" w:bidi="ar-SA"/>
        </w:rPr>
        <w:t>校企合作</w:t>
      </w:r>
      <w:r>
        <w:rPr>
          <w:rFonts w:hint="eastAsia" w:ascii="宋体" w:hAnsi="宋体" w:eastAsia="宋体" w:cs="宋体"/>
          <w:b w:val="0"/>
          <w:bCs/>
          <w:kern w:val="2"/>
          <w:sz w:val="24"/>
          <w:szCs w:val="24"/>
          <w:lang w:val="en-US" w:eastAsia="zh-CN" w:bidi="ar-SA"/>
        </w:rPr>
        <w:t>的</w:t>
      </w:r>
      <w:r>
        <w:rPr>
          <w:rFonts w:hint="eastAsia" w:hAnsi="宋体" w:eastAsia="宋体" w:cs="宋体"/>
          <w:b w:val="0"/>
          <w:bCs/>
          <w:kern w:val="2"/>
          <w:sz w:val="24"/>
          <w:szCs w:val="24"/>
          <w:lang w:val="en-US" w:eastAsia="zh-CN" w:bidi="ar-SA"/>
        </w:rPr>
        <w:t>相关活动进行了规范，确保了相关工作的高效运转。</w:t>
      </w:r>
    </w:p>
    <w:p w14:paraId="114EB296">
      <w:pPr>
        <w:pStyle w:val="6"/>
        <w:spacing w:line="360" w:lineRule="auto"/>
        <w:outlineLvl w:val="0"/>
        <w:rPr>
          <w:rFonts w:hint="eastAsia" w:ascii="黑体" w:hAnsi="黑体" w:eastAsia="黑体" w:cs="黑体"/>
          <w:bCs/>
          <w:sz w:val="28"/>
          <w:szCs w:val="28"/>
          <w:lang w:val="en-US" w:eastAsia="zh-CN"/>
        </w:rPr>
      </w:pPr>
      <w:bookmarkStart w:id="6" w:name="_Toc22889"/>
      <w:r>
        <w:rPr>
          <w:rFonts w:hint="eastAsia" w:ascii="黑体" w:hAnsi="黑体" w:eastAsia="黑体" w:cs="黑体"/>
          <w:bCs/>
          <w:sz w:val="28"/>
          <w:szCs w:val="28"/>
          <w:lang w:val="en-US" w:eastAsia="zh-CN"/>
        </w:rPr>
        <w:t>3.</w:t>
      </w:r>
      <w:r>
        <w:rPr>
          <w:rFonts w:hint="eastAsia" w:ascii="黑体" w:hAnsi="黑体" w:eastAsia="黑体" w:cs="黑体"/>
          <w:bCs/>
          <w:sz w:val="28"/>
          <w:szCs w:val="28"/>
        </w:rPr>
        <w:t>区域特色骨干大学产教融合的</w:t>
      </w:r>
      <w:r>
        <w:rPr>
          <w:rFonts w:hint="eastAsia" w:ascii="黑体" w:hAnsi="黑体" w:eastAsia="黑体" w:cs="黑体"/>
          <w:bCs/>
          <w:sz w:val="28"/>
          <w:szCs w:val="28"/>
          <w:lang w:val="en-US" w:eastAsia="zh-CN"/>
        </w:rPr>
        <w:t>特色</w:t>
      </w:r>
      <w:bookmarkEnd w:id="6"/>
    </w:p>
    <w:p w14:paraId="03AD3136">
      <w:pPr>
        <w:pStyle w:val="6"/>
        <w:spacing w:line="360" w:lineRule="auto"/>
        <w:outlineLvl w:val="1"/>
        <w:rPr>
          <w:rFonts w:hint="eastAsia" w:ascii="宋体" w:hAnsi="宋体" w:eastAsia="宋体" w:cs="宋体"/>
          <w:b/>
          <w:bCs w:val="0"/>
          <w:sz w:val="24"/>
          <w:szCs w:val="24"/>
          <w:lang w:val="en-US" w:eastAsia="zh-CN"/>
        </w:rPr>
      </w:pPr>
      <w:bookmarkStart w:id="7" w:name="_Toc26988"/>
      <w:r>
        <w:rPr>
          <w:rFonts w:hint="eastAsia" w:hAnsi="宋体" w:eastAsia="宋体" w:cs="宋体"/>
          <w:b/>
          <w:bCs w:val="0"/>
          <w:sz w:val="24"/>
          <w:szCs w:val="24"/>
          <w:lang w:val="en-US" w:eastAsia="zh-CN"/>
        </w:rPr>
        <w:t>3</w:t>
      </w:r>
      <w:r>
        <w:rPr>
          <w:rFonts w:hint="eastAsia" w:ascii="宋体" w:hAnsi="宋体" w:eastAsia="宋体" w:cs="宋体"/>
          <w:b/>
          <w:bCs w:val="0"/>
          <w:sz w:val="24"/>
          <w:szCs w:val="24"/>
          <w:lang w:val="en-US" w:eastAsia="zh-CN"/>
        </w:rPr>
        <w:t>.1坚持立足行业，作好“接地气”文章</w:t>
      </w:r>
      <w:bookmarkEnd w:id="7"/>
    </w:p>
    <w:p w14:paraId="72CE7F0C">
      <w:pPr>
        <w:keepNext w:val="0"/>
        <w:keepLines w:val="0"/>
        <w:widowControl/>
        <w:suppressLineNumbers w:val="0"/>
        <w:spacing w:line="360" w:lineRule="auto"/>
        <w:ind w:firstLine="480" w:firstLineChars="200"/>
        <w:jc w:val="left"/>
        <w:rPr>
          <w:rFonts w:hint="eastAsia" w:ascii="宋体" w:hAnsi="宋体" w:eastAsia="宋体" w:cs="宋体"/>
          <w:bCs/>
          <w:sz w:val="24"/>
          <w:szCs w:val="24"/>
          <w:lang w:val="en-US" w:eastAsia="zh-CN"/>
        </w:rPr>
      </w:pPr>
      <w:r>
        <w:rPr>
          <w:rFonts w:hint="eastAsia" w:ascii="宋体" w:hAnsi="宋体" w:eastAsia="宋体" w:cs="宋体"/>
          <w:bCs/>
          <w:sz w:val="24"/>
          <w:szCs w:val="24"/>
        </w:rPr>
        <w:t>特色骨干大学</w:t>
      </w:r>
      <w:r>
        <w:rPr>
          <w:rFonts w:hint="eastAsia" w:ascii="宋体" w:hAnsi="宋体" w:eastAsia="宋体" w:cs="宋体"/>
          <w:bCs/>
          <w:sz w:val="24"/>
          <w:szCs w:val="24"/>
          <w:lang w:val="en-US" w:eastAsia="zh-CN"/>
        </w:rPr>
        <w:t>都有传统的行业背景，与行业产业、相关部委有着非常紧密的联系与合作，因此形成并长期坚持大协作、大联合、大攻关的优良传统，因此，“行业性”是</w:t>
      </w:r>
      <w:r>
        <w:rPr>
          <w:rFonts w:hint="eastAsia" w:ascii="宋体" w:hAnsi="宋体" w:eastAsia="宋体" w:cs="宋体"/>
          <w:bCs/>
          <w:sz w:val="24"/>
          <w:szCs w:val="24"/>
        </w:rPr>
        <w:t>特色骨干大学</w:t>
      </w:r>
      <w:r>
        <w:rPr>
          <w:rFonts w:hint="eastAsia" w:ascii="宋体" w:hAnsi="宋体" w:eastAsia="宋体" w:cs="宋体"/>
          <w:bCs/>
          <w:sz w:val="24"/>
          <w:szCs w:val="24"/>
          <w:lang w:val="en-US" w:eastAsia="zh-CN"/>
        </w:rPr>
        <w:t>与生俱来的基因，改革发展要仰望星空，更要脚踏实地、多“接地气”。具体而言，就是要求培养的学生更加符合经济社会发展的需求；使大学更加具有服务于国家经济社会发展、地方行业产业发展的能力。河南科技大学把服务于机械工业行业、国防科技工业特色转化为学校的办学优势、学科优势和资源优势</w:t>
      </w:r>
      <w:r>
        <w:rPr>
          <w:rFonts w:hint="eastAsia" w:ascii="宋体" w:hAnsi="宋体" w:eastAsia="宋体" w:cs="宋体"/>
          <w:color w:val="000000"/>
          <w:kern w:val="0"/>
          <w:sz w:val="24"/>
          <w:szCs w:val="24"/>
          <w:lang w:val="en-US" w:eastAsia="zh-CN" w:bidi="ar"/>
        </w:rPr>
        <w:t>，高建平教授与宇通客车合作完成“节能与新能源客车关键技术研发及产业化”项目，实现高效动力系统、电池系统、整车控制等技术创新，获 2015 年国家科技进步二等奖，成果用于宇通新能源客车，销售超 14万辆，新增产值超 500 亿；徐立友教授与中国一拖合作攻克了大转矩、多作业大型拖拉机动力换挡控制等关键技术，获 2018 年河南省科技进步一等奖，成功用于东方红新型动力换挡拖拉机，年销售额超 30 亿，迫使同类进口产品降价超 30%，对推动行业技术进步具有重大意义，</w:t>
      </w:r>
      <w:r>
        <w:rPr>
          <w:rFonts w:hint="eastAsia" w:ascii="宋体" w:hAnsi="宋体" w:eastAsia="宋体" w:cs="宋体"/>
          <w:bCs/>
          <w:sz w:val="24"/>
          <w:szCs w:val="24"/>
          <w:lang w:val="en-US" w:eastAsia="zh-CN"/>
        </w:rPr>
        <w:t>正是“接地气办学”的明证。</w:t>
      </w:r>
    </w:p>
    <w:p w14:paraId="20DC3873">
      <w:pPr>
        <w:pStyle w:val="6"/>
        <w:spacing w:line="360" w:lineRule="auto"/>
        <w:outlineLvl w:val="1"/>
        <w:rPr>
          <w:rFonts w:hint="eastAsia" w:ascii="宋体" w:hAnsi="宋体" w:eastAsia="宋体" w:cs="宋体"/>
          <w:b/>
          <w:bCs w:val="0"/>
          <w:sz w:val="24"/>
          <w:szCs w:val="24"/>
          <w:lang w:val="en-US" w:eastAsia="zh-CN"/>
        </w:rPr>
      </w:pPr>
      <w:bookmarkStart w:id="8" w:name="_Toc1867"/>
      <w:r>
        <w:rPr>
          <w:rFonts w:hint="eastAsia" w:hAnsi="宋体" w:eastAsia="宋体" w:cs="宋体"/>
          <w:b/>
          <w:bCs w:val="0"/>
          <w:sz w:val="24"/>
          <w:szCs w:val="24"/>
          <w:lang w:val="en-US" w:eastAsia="zh-CN"/>
        </w:rPr>
        <w:t>3</w:t>
      </w:r>
      <w:r>
        <w:rPr>
          <w:rFonts w:hint="eastAsia" w:ascii="宋体" w:hAnsi="宋体" w:eastAsia="宋体" w:cs="宋体"/>
          <w:b/>
          <w:bCs w:val="0"/>
          <w:sz w:val="24"/>
          <w:szCs w:val="24"/>
          <w:lang w:val="en-US" w:eastAsia="zh-CN"/>
        </w:rPr>
        <w:t>.2坚持有为有不为，</w:t>
      </w:r>
      <w:r>
        <w:rPr>
          <w:rFonts w:hint="eastAsia" w:hAnsi="宋体" w:eastAsia="宋体" w:cs="宋体"/>
          <w:b/>
          <w:bCs w:val="0"/>
          <w:sz w:val="24"/>
          <w:szCs w:val="24"/>
          <w:lang w:val="en-US" w:eastAsia="zh-CN"/>
        </w:rPr>
        <w:t>互利共赢</w:t>
      </w:r>
      <w:r>
        <w:rPr>
          <w:rFonts w:hint="eastAsia" w:ascii="宋体" w:hAnsi="宋体" w:eastAsia="宋体" w:cs="宋体"/>
          <w:b/>
          <w:bCs w:val="0"/>
          <w:sz w:val="24"/>
          <w:szCs w:val="24"/>
          <w:lang w:val="en-US" w:eastAsia="zh-CN"/>
        </w:rPr>
        <w:t>良性互动</w:t>
      </w:r>
      <w:bookmarkEnd w:id="8"/>
    </w:p>
    <w:p w14:paraId="25AE3468">
      <w:pPr>
        <w:pStyle w:val="20"/>
        <w:spacing w:before="14" w:line="360" w:lineRule="auto"/>
        <w:ind w:left="20" w:right="20" w:firstLine="419"/>
        <w:rPr>
          <w:rFonts w:hint="eastAsia" w:ascii="宋体" w:hAnsi="宋体" w:eastAsia="宋体" w:cs="宋体"/>
          <w:sz w:val="24"/>
          <w:szCs w:val="24"/>
        </w:rPr>
      </w:pPr>
      <w:r>
        <w:rPr>
          <w:rFonts w:hint="eastAsia" w:ascii="宋体" w:hAnsi="宋体" w:eastAsia="宋体" w:cs="宋体"/>
          <w:bCs/>
          <w:sz w:val="24"/>
          <w:szCs w:val="24"/>
          <w:lang w:val="en-US" w:eastAsia="zh-CN"/>
        </w:rPr>
        <w:t>“不为”是为了“有为”，只不过是要有所选择而为。通过学科建设体系与创新服务体系的融合，进一步把优势变成强势，把特色转化为优势，</w:t>
      </w:r>
      <w:r>
        <w:rPr>
          <w:rFonts w:hint="eastAsia" w:ascii="宋体" w:hAnsi="宋体" w:eastAsia="宋体" w:cs="宋体"/>
          <w:bCs/>
          <w:sz w:val="24"/>
          <w:szCs w:val="24"/>
        </w:rPr>
        <w:t>特色骨干大学</w:t>
      </w:r>
      <w:r>
        <w:rPr>
          <w:rFonts w:hint="eastAsia" w:ascii="宋体" w:hAnsi="宋体" w:eastAsia="宋体" w:cs="宋体"/>
          <w:bCs/>
          <w:sz w:val="24"/>
          <w:szCs w:val="24"/>
          <w:lang w:val="en-US" w:eastAsia="zh-CN"/>
        </w:rPr>
        <w:t>坚持把服务三大国家战略规划作为首要目标，建立与经济社会发展基本相适应的学科专业体系，把提升学科水平放到服务发展的大局和进程中去考量，为中原崛起河南振兴提供有力的人才保障、科技支撑和智力支持。</w:t>
      </w:r>
      <w:r>
        <w:rPr>
          <w:rFonts w:hint="eastAsia" w:ascii="宋体" w:hAnsi="宋体" w:eastAsia="宋体" w:cs="宋体"/>
          <w:sz w:val="24"/>
          <w:szCs w:val="24"/>
        </w:rPr>
        <w:t>装备制造业是国家创新能力的标志，大国重器依赖于大型铸锻件，其</w:t>
      </w:r>
      <w:r>
        <w:rPr>
          <w:rFonts w:hint="eastAsia" w:ascii="宋体" w:hAnsi="宋体" w:eastAsia="宋体" w:cs="宋体"/>
          <w:spacing w:val="-1"/>
          <w:sz w:val="24"/>
          <w:szCs w:val="24"/>
        </w:rPr>
        <w:t>核心加工成形技术曾经</w:t>
      </w:r>
      <w:r>
        <w:rPr>
          <w:rFonts w:hint="eastAsia" w:ascii="宋体" w:hAnsi="宋体" w:eastAsia="宋体" w:cs="宋体"/>
          <w:sz w:val="24"/>
          <w:szCs w:val="24"/>
        </w:rPr>
        <w:t xml:space="preserve"> </w:t>
      </w:r>
      <w:r>
        <w:rPr>
          <w:rFonts w:hint="eastAsia" w:ascii="宋体" w:hAnsi="宋体" w:eastAsia="宋体" w:cs="宋体"/>
          <w:spacing w:val="-4"/>
          <w:sz w:val="24"/>
          <w:szCs w:val="24"/>
        </w:rPr>
        <w:t>是我国制造业的“卡脖子</w:t>
      </w:r>
      <w:r>
        <w:rPr>
          <w:rFonts w:hint="eastAsia" w:ascii="宋体" w:hAnsi="宋体" w:eastAsia="宋体" w:cs="宋体"/>
          <w:spacing w:val="-78"/>
          <w:sz w:val="24"/>
          <w:szCs w:val="24"/>
        </w:rPr>
        <w:t xml:space="preserve"> </w:t>
      </w:r>
      <w:r>
        <w:rPr>
          <w:rFonts w:hint="eastAsia" w:ascii="宋体" w:hAnsi="宋体" w:eastAsia="宋体" w:cs="宋体"/>
          <w:spacing w:val="-4"/>
          <w:sz w:val="24"/>
          <w:szCs w:val="24"/>
        </w:rPr>
        <w:t>”难题。</w:t>
      </w:r>
      <w:r>
        <w:rPr>
          <w:rFonts w:hint="eastAsia" w:ascii="宋体" w:hAnsi="宋体" w:eastAsia="宋体" w:cs="宋体"/>
          <w:bCs/>
          <w:sz w:val="24"/>
          <w:szCs w:val="24"/>
          <w:lang w:val="en-US" w:eastAsia="zh-CN"/>
        </w:rPr>
        <w:t>河南科技大学</w:t>
      </w:r>
      <w:r>
        <w:rPr>
          <w:rFonts w:hint="eastAsia" w:ascii="宋体" w:hAnsi="宋体" w:eastAsia="宋体" w:cs="宋体"/>
          <w:sz w:val="24"/>
          <w:szCs w:val="24"/>
        </w:rPr>
        <w:t>魏世忠教授团队长期耕耘铸锻行业，开展重型装备大型铸锻件制造技术开</w:t>
      </w:r>
      <w:r>
        <w:rPr>
          <w:rFonts w:hint="eastAsia" w:ascii="宋体" w:hAnsi="宋体" w:eastAsia="宋体" w:cs="宋体"/>
          <w:spacing w:val="-1"/>
          <w:sz w:val="24"/>
          <w:szCs w:val="24"/>
        </w:rPr>
        <w:t>发及应用研究。针</w:t>
      </w:r>
      <w:r>
        <w:rPr>
          <w:rFonts w:hint="eastAsia" w:ascii="宋体" w:hAnsi="宋体" w:eastAsia="宋体" w:cs="宋体"/>
          <w:sz w:val="24"/>
          <w:szCs w:val="24"/>
        </w:rPr>
        <w:t xml:space="preserve">  对大型铸锻件存在的钢液洁净度不高、凝固组织粗大、铸件疏松缺陷多、锻</w:t>
      </w:r>
      <w:r>
        <w:rPr>
          <w:rFonts w:hint="eastAsia" w:ascii="宋体" w:hAnsi="宋体" w:eastAsia="宋体" w:cs="宋体"/>
          <w:spacing w:val="-1"/>
          <w:sz w:val="24"/>
          <w:szCs w:val="24"/>
        </w:rPr>
        <w:t>件裂纹难以控制等问</w:t>
      </w:r>
      <w:r>
        <w:rPr>
          <w:rFonts w:hint="eastAsia" w:ascii="宋体" w:hAnsi="宋体" w:eastAsia="宋体" w:cs="宋体"/>
          <w:sz w:val="24"/>
          <w:szCs w:val="24"/>
        </w:rPr>
        <w:t>题，开发了冷料装炉高纯冶炼和细晶处理技术、大型铸件成形与致密化技术</w:t>
      </w:r>
      <w:r>
        <w:rPr>
          <w:rFonts w:hint="eastAsia" w:ascii="宋体" w:hAnsi="宋体" w:eastAsia="宋体" w:cs="宋体"/>
          <w:spacing w:val="-1"/>
          <w:sz w:val="24"/>
          <w:szCs w:val="24"/>
        </w:rPr>
        <w:t>、大型锻件控形控性</w:t>
      </w:r>
      <w:r>
        <w:rPr>
          <w:rFonts w:hint="eastAsia" w:ascii="宋体" w:hAnsi="宋体" w:eastAsia="宋体" w:cs="宋体"/>
          <w:spacing w:val="-8"/>
          <w:sz w:val="24"/>
          <w:szCs w:val="24"/>
        </w:rPr>
        <w:t>等系列关键技术，掌握了大型铸锻件成形过程中的关键基础数据和核心工艺， 解决了钢水洁净度、</w:t>
      </w:r>
      <w:r>
        <w:rPr>
          <w:rFonts w:hint="eastAsia" w:ascii="宋体" w:hAnsi="宋体" w:eastAsia="宋体" w:cs="宋体"/>
          <w:sz w:val="24"/>
          <w:szCs w:val="24"/>
        </w:rPr>
        <w:t xml:space="preserve"> </w:t>
      </w:r>
      <w:r>
        <w:rPr>
          <w:rFonts w:hint="eastAsia" w:ascii="宋体" w:hAnsi="宋体" w:eastAsia="宋体" w:cs="宋体"/>
          <w:spacing w:val="-5"/>
          <w:sz w:val="24"/>
          <w:szCs w:val="24"/>
        </w:rPr>
        <w:t>晶粒度、成形组织缺陷及性能均匀性等技术难题。成果在全国</w:t>
      </w:r>
      <w:r>
        <w:rPr>
          <w:rFonts w:hint="eastAsia" w:ascii="宋体" w:hAnsi="宋体" w:eastAsia="宋体" w:cs="宋体"/>
          <w:spacing w:val="-29"/>
          <w:sz w:val="24"/>
          <w:szCs w:val="24"/>
        </w:rPr>
        <w:t xml:space="preserve"> </w:t>
      </w:r>
      <w:r>
        <w:rPr>
          <w:rFonts w:hint="eastAsia" w:ascii="宋体" w:hAnsi="宋体" w:eastAsia="宋体" w:cs="宋体"/>
          <w:spacing w:val="-6"/>
          <w:sz w:val="24"/>
          <w:szCs w:val="24"/>
        </w:rPr>
        <w:t>12</w:t>
      </w:r>
      <w:r>
        <w:rPr>
          <w:rFonts w:hint="eastAsia" w:ascii="宋体" w:hAnsi="宋体" w:eastAsia="宋体" w:cs="宋体"/>
          <w:spacing w:val="-43"/>
          <w:sz w:val="24"/>
          <w:szCs w:val="24"/>
        </w:rPr>
        <w:t xml:space="preserve"> </w:t>
      </w:r>
      <w:r>
        <w:rPr>
          <w:rFonts w:hint="eastAsia" w:ascii="宋体" w:hAnsi="宋体" w:eastAsia="宋体" w:cs="宋体"/>
          <w:spacing w:val="-6"/>
          <w:sz w:val="24"/>
          <w:szCs w:val="24"/>
        </w:rPr>
        <w:t>家企业成功应用，5</w:t>
      </w:r>
      <w:r>
        <w:rPr>
          <w:rFonts w:hint="eastAsia" w:ascii="宋体" w:hAnsi="宋体" w:eastAsia="宋体" w:cs="宋体"/>
          <w:spacing w:val="-42"/>
          <w:sz w:val="24"/>
          <w:szCs w:val="24"/>
        </w:rPr>
        <w:t xml:space="preserve"> </w:t>
      </w:r>
      <w:r>
        <w:rPr>
          <w:rFonts w:hint="eastAsia" w:ascii="宋体" w:hAnsi="宋体" w:eastAsia="宋体" w:cs="宋体"/>
          <w:spacing w:val="-6"/>
          <w:sz w:val="24"/>
          <w:szCs w:val="24"/>
        </w:rPr>
        <w:t xml:space="preserve">家企业近三 </w:t>
      </w:r>
      <w:r>
        <w:rPr>
          <w:rFonts w:hint="eastAsia" w:ascii="宋体" w:hAnsi="宋体" w:eastAsia="宋体" w:cs="宋体"/>
          <w:spacing w:val="-2"/>
          <w:sz w:val="24"/>
          <w:szCs w:val="24"/>
        </w:rPr>
        <w:t>年累计新增产值</w:t>
      </w:r>
      <w:r>
        <w:rPr>
          <w:rFonts w:hint="eastAsia" w:ascii="宋体" w:hAnsi="宋体" w:eastAsia="宋体" w:cs="宋体"/>
          <w:spacing w:val="-45"/>
          <w:sz w:val="24"/>
          <w:szCs w:val="24"/>
        </w:rPr>
        <w:t xml:space="preserve"> </w:t>
      </w:r>
      <w:r>
        <w:rPr>
          <w:rFonts w:hint="eastAsia" w:ascii="宋体" w:hAnsi="宋体" w:eastAsia="宋体" w:cs="宋体"/>
          <w:spacing w:val="-2"/>
          <w:sz w:val="24"/>
          <w:szCs w:val="24"/>
        </w:rPr>
        <w:t>45.3</w:t>
      </w:r>
      <w:r>
        <w:rPr>
          <w:rFonts w:hint="eastAsia" w:ascii="宋体" w:hAnsi="宋体" w:eastAsia="宋体" w:cs="宋体"/>
          <w:spacing w:val="-43"/>
          <w:sz w:val="24"/>
          <w:szCs w:val="24"/>
        </w:rPr>
        <w:t xml:space="preserve"> </w:t>
      </w:r>
      <w:r>
        <w:rPr>
          <w:rFonts w:hint="eastAsia" w:ascii="宋体" w:hAnsi="宋体" w:eastAsia="宋体" w:cs="宋体"/>
          <w:spacing w:val="-2"/>
          <w:sz w:val="24"/>
          <w:szCs w:val="24"/>
        </w:rPr>
        <w:t>亿元。产品已成功应用于淡水河谷、必和必拓</w:t>
      </w:r>
      <w:r>
        <w:rPr>
          <w:rFonts w:hint="eastAsia" w:ascii="宋体" w:hAnsi="宋体" w:eastAsia="宋体" w:cs="宋体"/>
          <w:spacing w:val="-3"/>
          <w:sz w:val="24"/>
          <w:szCs w:val="24"/>
        </w:rPr>
        <w:t xml:space="preserve">等世界矿业巨头的大型矿山装 </w:t>
      </w:r>
      <w:r>
        <w:rPr>
          <w:rFonts w:hint="eastAsia" w:ascii="宋体" w:hAnsi="宋体" w:eastAsia="宋体" w:cs="宋体"/>
          <w:sz w:val="24"/>
          <w:szCs w:val="24"/>
        </w:rPr>
        <w:t>备，国家正负电子对撞机、世界最大盾构机单体刀盘、世界最大自磨机端盖</w:t>
      </w:r>
      <w:r>
        <w:rPr>
          <w:rFonts w:hint="eastAsia" w:ascii="宋体" w:hAnsi="宋体" w:eastAsia="宋体" w:cs="宋体"/>
          <w:spacing w:val="-1"/>
          <w:sz w:val="24"/>
          <w:szCs w:val="24"/>
        </w:rPr>
        <w:t>和球磨机齿圈、世界</w:t>
      </w:r>
      <w:r>
        <w:rPr>
          <w:rFonts w:hint="eastAsia" w:ascii="宋体" w:hAnsi="宋体" w:eastAsia="宋体" w:cs="宋体"/>
          <w:spacing w:val="-3"/>
          <w:sz w:val="24"/>
          <w:szCs w:val="24"/>
        </w:rPr>
        <w:t>最长单体离心管模等产品；与中信重工共同研制的国之重器-国内最大</w:t>
      </w:r>
      <w:r>
        <w:rPr>
          <w:rFonts w:hint="eastAsia" w:ascii="宋体" w:hAnsi="宋体" w:eastAsia="宋体" w:cs="宋体"/>
          <w:spacing w:val="-20"/>
          <w:sz w:val="24"/>
          <w:szCs w:val="24"/>
        </w:rPr>
        <w:t xml:space="preserve"> </w:t>
      </w:r>
      <w:r>
        <w:rPr>
          <w:rFonts w:hint="eastAsia" w:ascii="宋体" w:hAnsi="宋体" w:eastAsia="宋体" w:cs="宋体"/>
          <w:spacing w:val="-3"/>
          <w:sz w:val="24"/>
          <w:szCs w:val="24"/>
        </w:rPr>
        <w:t>18500</w:t>
      </w:r>
      <w:r>
        <w:rPr>
          <w:rFonts w:hint="eastAsia" w:ascii="宋体" w:hAnsi="宋体" w:eastAsia="宋体" w:cs="宋体"/>
          <w:spacing w:val="-34"/>
          <w:sz w:val="24"/>
          <w:szCs w:val="24"/>
        </w:rPr>
        <w:t xml:space="preserve"> </w:t>
      </w:r>
      <w:r>
        <w:rPr>
          <w:rFonts w:hint="eastAsia" w:ascii="宋体" w:hAnsi="宋体" w:eastAsia="宋体" w:cs="宋体"/>
          <w:spacing w:val="-3"/>
          <w:sz w:val="24"/>
          <w:szCs w:val="24"/>
        </w:rPr>
        <w:t>吨自由锻压力机，成</w:t>
      </w:r>
      <w:r>
        <w:rPr>
          <w:rFonts w:hint="eastAsia" w:ascii="宋体" w:hAnsi="宋体" w:eastAsia="宋体" w:cs="宋体"/>
          <w:spacing w:val="-7"/>
          <w:sz w:val="24"/>
          <w:szCs w:val="24"/>
        </w:rPr>
        <w:t>功制造出当时世界最大铸件-520</w:t>
      </w:r>
      <w:r>
        <w:rPr>
          <w:rFonts w:hint="eastAsia" w:ascii="宋体" w:hAnsi="宋体" w:eastAsia="宋体" w:cs="宋体"/>
          <w:spacing w:val="-34"/>
          <w:sz w:val="24"/>
          <w:szCs w:val="24"/>
        </w:rPr>
        <w:t xml:space="preserve"> </w:t>
      </w:r>
      <w:r>
        <w:rPr>
          <w:rFonts w:hint="eastAsia" w:ascii="宋体" w:hAnsi="宋体" w:eastAsia="宋体" w:cs="宋体"/>
          <w:spacing w:val="-7"/>
          <w:sz w:val="24"/>
          <w:szCs w:val="24"/>
        </w:rPr>
        <w:t>吨液压机上横梁， CCTV-1</w:t>
      </w:r>
      <w:r>
        <w:rPr>
          <w:rFonts w:hint="eastAsia" w:ascii="宋体" w:hAnsi="宋体" w:eastAsia="宋体" w:cs="宋体"/>
          <w:spacing w:val="-43"/>
          <w:sz w:val="24"/>
          <w:szCs w:val="24"/>
        </w:rPr>
        <w:t xml:space="preserve"> </w:t>
      </w:r>
      <w:r>
        <w:rPr>
          <w:rFonts w:hint="eastAsia" w:ascii="宋体" w:hAnsi="宋体" w:eastAsia="宋体" w:cs="宋体"/>
          <w:spacing w:val="-7"/>
          <w:sz w:val="24"/>
          <w:szCs w:val="24"/>
        </w:rPr>
        <w:t>直播了该零件现场浇铸过</w:t>
      </w:r>
      <w:r>
        <w:rPr>
          <w:rFonts w:hint="eastAsia" w:ascii="宋体" w:hAnsi="宋体" w:eastAsia="宋体" w:cs="宋体"/>
          <w:spacing w:val="-8"/>
          <w:sz w:val="24"/>
          <w:szCs w:val="24"/>
        </w:rPr>
        <w:t xml:space="preserve">程，打破了国 </w:t>
      </w:r>
      <w:r>
        <w:rPr>
          <w:rFonts w:hint="eastAsia" w:ascii="宋体" w:hAnsi="宋体" w:eastAsia="宋体" w:cs="宋体"/>
          <w:sz w:val="24"/>
          <w:szCs w:val="24"/>
        </w:rPr>
        <w:t>外对该技术的垄断，凸显我国在重型装备制造领域的技术引领。主持的相关</w:t>
      </w:r>
      <w:r>
        <w:rPr>
          <w:rFonts w:hint="eastAsia" w:ascii="宋体" w:hAnsi="宋体" w:eastAsia="宋体" w:cs="宋体"/>
          <w:spacing w:val="-1"/>
          <w:sz w:val="24"/>
          <w:szCs w:val="24"/>
        </w:rPr>
        <w:t>成果获国家科技进步</w:t>
      </w:r>
      <w:r>
        <w:rPr>
          <w:rFonts w:hint="eastAsia" w:ascii="宋体" w:hAnsi="宋体" w:eastAsia="宋体" w:cs="宋体"/>
          <w:spacing w:val="-2"/>
          <w:sz w:val="24"/>
          <w:szCs w:val="24"/>
        </w:rPr>
        <w:t>二等奖</w:t>
      </w:r>
      <w:r>
        <w:rPr>
          <w:rFonts w:hint="eastAsia" w:ascii="宋体" w:hAnsi="宋体" w:eastAsia="宋体" w:cs="宋体"/>
          <w:spacing w:val="-29"/>
          <w:sz w:val="24"/>
          <w:szCs w:val="24"/>
        </w:rPr>
        <w:t xml:space="preserve"> </w:t>
      </w:r>
      <w:r>
        <w:rPr>
          <w:rFonts w:hint="eastAsia" w:ascii="宋体" w:hAnsi="宋体" w:eastAsia="宋体" w:cs="宋体"/>
          <w:spacing w:val="-2"/>
          <w:sz w:val="24"/>
          <w:szCs w:val="24"/>
        </w:rPr>
        <w:t>1</w:t>
      </w:r>
      <w:r>
        <w:rPr>
          <w:rFonts w:hint="eastAsia" w:ascii="宋体" w:hAnsi="宋体" w:eastAsia="宋体" w:cs="宋体"/>
          <w:spacing w:val="-41"/>
          <w:sz w:val="24"/>
          <w:szCs w:val="24"/>
        </w:rPr>
        <w:t xml:space="preserve"> </w:t>
      </w:r>
      <w:r>
        <w:rPr>
          <w:rFonts w:hint="eastAsia" w:ascii="宋体" w:hAnsi="宋体" w:eastAsia="宋体" w:cs="宋体"/>
          <w:spacing w:val="-2"/>
          <w:sz w:val="24"/>
          <w:szCs w:val="24"/>
        </w:rPr>
        <w:t>项、何梁何利基金科学与技术创新奖、河南省科学技术杰</w:t>
      </w:r>
      <w:r>
        <w:rPr>
          <w:rFonts w:hint="eastAsia" w:ascii="宋体" w:hAnsi="宋体" w:eastAsia="宋体" w:cs="宋体"/>
          <w:spacing w:val="-3"/>
          <w:sz w:val="24"/>
          <w:szCs w:val="24"/>
        </w:rPr>
        <w:t>出贡献奖。</w:t>
      </w:r>
    </w:p>
    <w:p w14:paraId="74099A65">
      <w:pPr>
        <w:pStyle w:val="6"/>
        <w:spacing w:line="360" w:lineRule="auto"/>
        <w:outlineLvl w:val="1"/>
        <w:rPr>
          <w:rFonts w:hint="eastAsia" w:ascii="宋体" w:hAnsi="宋体" w:eastAsia="宋体" w:cs="宋体"/>
          <w:b/>
          <w:bCs w:val="0"/>
          <w:sz w:val="24"/>
          <w:szCs w:val="24"/>
          <w:lang w:val="en-US" w:eastAsia="zh-CN"/>
        </w:rPr>
      </w:pPr>
      <w:bookmarkStart w:id="9" w:name="_Toc6185"/>
      <w:r>
        <w:rPr>
          <w:rFonts w:hint="eastAsia" w:hAnsi="宋体" w:eastAsia="宋体" w:cs="宋体"/>
          <w:b/>
          <w:bCs w:val="0"/>
          <w:sz w:val="24"/>
          <w:szCs w:val="24"/>
          <w:lang w:val="en-US" w:eastAsia="zh-CN"/>
        </w:rPr>
        <w:t>3</w:t>
      </w:r>
      <w:r>
        <w:rPr>
          <w:rFonts w:hint="eastAsia" w:ascii="宋体" w:hAnsi="宋体" w:eastAsia="宋体" w:cs="宋体"/>
          <w:b/>
          <w:bCs w:val="0"/>
          <w:sz w:val="24"/>
          <w:szCs w:val="24"/>
          <w:lang w:val="en-US" w:eastAsia="zh-CN"/>
        </w:rPr>
        <w:t>.3坚持资源共享，克服资源瓶颈制约</w:t>
      </w:r>
      <w:bookmarkEnd w:id="9"/>
    </w:p>
    <w:p w14:paraId="0F6ACF59">
      <w:pPr>
        <w:pStyle w:val="20"/>
        <w:spacing w:before="17" w:line="360" w:lineRule="auto"/>
        <w:ind w:left="20" w:right="20" w:firstLine="420"/>
        <w:rPr>
          <w:rFonts w:hint="eastAsia" w:ascii="宋体" w:hAnsi="宋体" w:eastAsia="宋体" w:cs="宋体"/>
          <w:bCs/>
          <w:sz w:val="24"/>
          <w:szCs w:val="24"/>
          <w:lang w:val="en-US" w:eastAsia="zh-CN"/>
        </w:rPr>
      </w:pPr>
      <w:r>
        <w:rPr>
          <w:rFonts w:hint="eastAsia" w:ascii="宋体" w:hAnsi="宋体" w:eastAsia="宋体" w:cs="宋体"/>
          <w:spacing w:val="-2"/>
          <w:sz w:val="24"/>
          <w:szCs w:val="24"/>
          <w:lang w:val="en-US" w:eastAsia="zh-CN"/>
        </w:rPr>
        <w:t>河南科技大学</w:t>
      </w:r>
      <w:r>
        <w:rPr>
          <w:rFonts w:hint="eastAsia" w:ascii="宋体" w:hAnsi="宋体" w:eastAsia="宋体" w:cs="宋体"/>
          <w:spacing w:val="-2"/>
          <w:sz w:val="24"/>
          <w:szCs w:val="24"/>
        </w:rPr>
        <w:t>长期服务于共和国工业“长子</w:t>
      </w:r>
      <w:r>
        <w:rPr>
          <w:rFonts w:hint="eastAsia" w:ascii="宋体" w:hAnsi="宋体" w:eastAsia="宋体" w:cs="宋体"/>
          <w:spacing w:val="-77"/>
          <w:sz w:val="24"/>
          <w:szCs w:val="24"/>
        </w:rPr>
        <w:t xml:space="preserve"> </w:t>
      </w:r>
      <w:r>
        <w:rPr>
          <w:rFonts w:hint="eastAsia" w:ascii="宋体" w:hAnsi="宋体" w:eastAsia="宋体" w:cs="宋体"/>
          <w:spacing w:val="-2"/>
          <w:sz w:val="24"/>
          <w:szCs w:val="24"/>
        </w:rPr>
        <w:t>”中国一拖、洛阳</w:t>
      </w:r>
      <w:r>
        <w:rPr>
          <w:rFonts w:hint="eastAsia" w:ascii="宋体" w:hAnsi="宋体" w:eastAsia="宋体" w:cs="宋体"/>
          <w:spacing w:val="-46"/>
          <w:sz w:val="24"/>
          <w:szCs w:val="24"/>
        </w:rPr>
        <w:t xml:space="preserve"> </w:t>
      </w:r>
      <w:r>
        <w:rPr>
          <w:rFonts w:hint="eastAsia" w:ascii="宋体" w:hAnsi="宋体" w:eastAsia="宋体" w:cs="宋体"/>
          <w:spacing w:val="-2"/>
          <w:sz w:val="24"/>
          <w:szCs w:val="24"/>
        </w:rPr>
        <w:t>L</w:t>
      </w:r>
      <w:r>
        <w:rPr>
          <w:rFonts w:hint="eastAsia" w:ascii="宋体" w:hAnsi="宋体" w:eastAsia="宋体" w:cs="宋体"/>
          <w:spacing w:val="-3"/>
          <w:sz w:val="24"/>
          <w:szCs w:val="24"/>
        </w:rPr>
        <w:t>YC</w:t>
      </w:r>
      <w:r>
        <w:rPr>
          <w:rFonts w:hint="eastAsia" w:ascii="宋体" w:hAnsi="宋体" w:eastAsia="宋体" w:cs="宋体"/>
          <w:spacing w:val="-44"/>
          <w:sz w:val="24"/>
          <w:szCs w:val="24"/>
        </w:rPr>
        <w:t xml:space="preserve"> </w:t>
      </w:r>
      <w:r>
        <w:rPr>
          <w:rFonts w:hint="eastAsia" w:ascii="宋体" w:hAnsi="宋体" w:eastAsia="宋体" w:cs="宋体"/>
          <w:spacing w:val="-3"/>
          <w:sz w:val="24"/>
          <w:szCs w:val="24"/>
        </w:rPr>
        <w:t>轴承、</w:t>
      </w:r>
      <w:r>
        <w:rPr>
          <w:rFonts w:hint="eastAsia" w:ascii="宋体" w:hAnsi="宋体" w:eastAsia="宋体" w:cs="宋体"/>
          <w:sz w:val="24"/>
          <w:szCs w:val="24"/>
        </w:rPr>
        <w:t>中信重工等一批国家大型企业，协同创新深度和广度前所未有，成果转</w:t>
      </w:r>
      <w:r>
        <w:rPr>
          <w:rFonts w:hint="eastAsia" w:ascii="宋体" w:hAnsi="宋体" w:eastAsia="宋体" w:cs="宋体"/>
          <w:spacing w:val="-1"/>
          <w:sz w:val="24"/>
          <w:szCs w:val="24"/>
        </w:rPr>
        <w:t>化成效突出，</w:t>
      </w:r>
      <w:r>
        <w:rPr>
          <w:rFonts w:hint="eastAsia" w:ascii="宋体" w:hAnsi="宋体" w:eastAsia="宋体" w:cs="宋体"/>
          <w:spacing w:val="-3"/>
          <w:sz w:val="24"/>
          <w:szCs w:val="24"/>
        </w:rPr>
        <w:t>获国家科技进步二等奖</w:t>
      </w:r>
      <w:r>
        <w:rPr>
          <w:rFonts w:hint="eastAsia" w:ascii="宋体" w:hAnsi="宋体" w:eastAsia="宋体" w:cs="宋体"/>
          <w:spacing w:val="-40"/>
          <w:sz w:val="24"/>
          <w:szCs w:val="24"/>
        </w:rPr>
        <w:t xml:space="preserve"> </w:t>
      </w:r>
      <w:r>
        <w:rPr>
          <w:rFonts w:hint="eastAsia" w:ascii="宋体" w:hAnsi="宋体" w:eastAsia="宋体" w:cs="宋体"/>
          <w:spacing w:val="-3"/>
          <w:sz w:val="24"/>
          <w:szCs w:val="24"/>
        </w:rPr>
        <w:t>5</w:t>
      </w:r>
      <w:r>
        <w:rPr>
          <w:rFonts w:hint="eastAsia" w:ascii="宋体" w:hAnsi="宋体" w:eastAsia="宋体" w:cs="宋体"/>
          <w:spacing w:val="-41"/>
          <w:sz w:val="24"/>
          <w:szCs w:val="24"/>
        </w:rPr>
        <w:t xml:space="preserve"> </w:t>
      </w:r>
      <w:r>
        <w:rPr>
          <w:rFonts w:hint="eastAsia" w:ascii="宋体" w:hAnsi="宋体" w:eastAsia="宋体" w:cs="宋体"/>
          <w:spacing w:val="-3"/>
          <w:sz w:val="24"/>
          <w:szCs w:val="24"/>
        </w:rPr>
        <w:t>项，新增产值</w:t>
      </w:r>
      <w:r>
        <w:rPr>
          <w:rFonts w:hint="eastAsia" w:ascii="宋体" w:hAnsi="宋体" w:eastAsia="宋体" w:cs="宋体"/>
          <w:spacing w:val="-46"/>
          <w:sz w:val="24"/>
          <w:szCs w:val="24"/>
        </w:rPr>
        <w:t xml:space="preserve"> </w:t>
      </w:r>
      <w:r>
        <w:rPr>
          <w:rFonts w:hint="eastAsia" w:ascii="宋体" w:hAnsi="宋体" w:eastAsia="宋体" w:cs="宋体"/>
          <w:spacing w:val="-3"/>
          <w:sz w:val="24"/>
          <w:szCs w:val="24"/>
        </w:rPr>
        <w:t>40</w:t>
      </w:r>
      <w:r>
        <w:rPr>
          <w:rFonts w:hint="eastAsia" w:ascii="宋体" w:hAnsi="宋体" w:eastAsia="宋体" w:cs="宋体"/>
          <w:spacing w:val="-4"/>
          <w:sz w:val="24"/>
          <w:szCs w:val="24"/>
        </w:rPr>
        <w:t>0</w:t>
      </w:r>
      <w:r>
        <w:rPr>
          <w:rFonts w:hint="eastAsia" w:ascii="宋体" w:hAnsi="宋体" w:eastAsia="宋体" w:cs="宋体"/>
          <w:spacing w:val="-34"/>
          <w:sz w:val="24"/>
          <w:szCs w:val="24"/>
        </w:rPr>
        <w:t xml:space="preserve"> </w:t>
      </w:r>
      <w:r>
        <w:rPr>
          <w:rFonts w:hint="eastAsia" w:ascii="宋体" w:hAnsi="宋体" w:eastAsia="宋体" w:cs="宋体"/>
          <w:spacing w:val="-4"/>
          <w:sz w:val="24"/>
          <w:szCs w:val="24"/>
        </w:rPr>
        <w:t>多亿元。</w:t>
      </w:r>
      <w:r>
        <w:rPr>
          <w:rFonts w:hint="eastAsia" w:ascii="宋体" w:hAnsi="宋体" w:eastAsia="宋体" w:cs="宋体"/>
          <w:spacing w:val="-5"/>
          <w:sz w:val="24"/>
          <w:szCs w:val="24"/>
        </w:rPr>
        <w:t>先后获“中</w:t>
      </w:r>
      <w:r>
        <w:rPr>
          <w:rFonts w:hint="eastAsia" w:ascii="宋体" w:hAnsi="宋体" w:eastAsia="宋体" w:cs="宋体"/>
          <w:sz w:val="24"/>
          <w:szCs w:val="24"/>
        </w:rPr>
        <w:t xml:space="preserve"> </w:t>
      </w:r>
      <w:r>
        <w:rPr>
          <w:rFonts w:hint="eastAsia" w:ascii="宋体" w:hAnsi="宋体" w:eastAsia="宋体" w:cs="宋体"/>
          <w:spacing w:val="-4"/>
          <w:sz w:val="24"/>
          <w:szCs w:val="24"/>
        </w:rPr>
        <w:t>国产学研合作创新成果奖</w:t>
      </w:r>
      <w:r>
        <w:rPr>
          <w:rFonts w:hint="eastAsia" w:ascii="宋体" w:hAnsi="宋体" w:eastAsia="宋体" w:cs="宋体"/>
          <w:spacing w:val="-77"/>
          <w:sz w:val="24"/>
          <w:szCs w:val="24"/>
        </w:rPr>
        <w:t xml:space="preserve"> </w:t>
      </w:r>
      <w:r>
        <w:rPr>
          <w:rFonts w:hint="eastAsia" w:ascii="宋体" w:hAnsi="宋体" w:eastAsia="宋体" w:cs="宋体"/>
          <w:spacing w:val="-4"/>
          <w:sz w:val="24"/>
          <w:szCs w:val="24"/>
        </w:rPr>
        <w:t>”和“</w:t>
      </w:r>
      <w:r>
        <w:rPr>
          <w:rFonts w:hint="eastAsia" w:ascii="宋体" w:hAnsi="宋体" w:eastAsia="宋体" w:cs="宋体"/>
          <w:spacing w:val="-77"/>
          <w:sz w:val="24"/>
          <w:szCs w:val="24"/>
        </w:rPr>
        <w:t xml:space="preserve"> </w:t>
      </w:r>
      <w:r>
        <w:rPr>
          <w:rFonts w:hint="eastAsia" w:ascii="宋体" w:hAnsi="宋体" w:eastAsia="宋体" w:cs="宋体"/>
          <w:spacing w:val="-4"/>
          <w:sz w:val="24"/>
          <w:szCs w:val="24"/>
        </w:rPr>
        <w:t>中国产学研合作创新奖</w:t>
      </w:r>
      <w:r>
        <w:rPr>
          <w:rFonts w:hint="eastAsia" w:ascii="宋体" w:hAnsi="宋体" w:eastAsia="宋体" w:cs="宋体"/>
          <w:spacing w:val="-77"/>
          <w:sz w:val="24"/>
          <w:szCs w:val="24"/>
        </w:rPr>
        <w:t xml:space="preserve"> </w:t>
      </w:r>
      <w:r>
        <w:rPr>
          <w:rFonts w:hint="eastAsia" w:ascii="宋体" w:hAnsi="宋体" w:eastAsia="宋体" w:cs="宋体"/>
          <w:spacing w:val="-4"/>
          <w:sz w:val="24"/>
          <w:szCs w:val="24"/>
        </w:rPr>
        <w:t>”。2020</w:t>
      </w:r>
      <w:r>
        <w:rPr>
          <w:rFonts w:hint="eastAsia" w:ascii="宋体" w:hAnsi="宋体" w:eastAsia="宋体" w:cs="宋体"/>
          <w:spacing w:val="-43"/>
          <w:sz w:val="24"/>
          <w:szCs w:val="24"/>
        </w:rPr>
        <w:t xml:space="preserve"> </w:t>
      </w:r>
      <w:r>
        <w:rPr>
          <w:rFonts w:hint="eastAsia" w:ascii="宋体" w:hAnsi="宋体" w:eastAsia="宋体" w:cs="宋体"/>
          <w:spacing w:val="-4"/>
          <w:sz w:val="24"/>
          <w:szCs w:val="24"/>
        </w:rPr>
        <w:t>年</w:t>
      </w:r>
      <w:r>
        <w:rPr>
          <w:rFonts w:hint="eastAsia" w:ascii="宋体" w:hAnsi="宋体" w:eastAsia="宋体" w:cs="宋体"/>
          <w:spacing w:val="-40"/>
          <w:sz w:val="24"/>
          <w:szCs w:val="24"/>
        </w:rPr>
        <w:t xml:space="preserve"> </w:t>
      </w:r>
      <w:r>
        <w:rPr>
          <w:rFonts w:hint="eastAsia" w:ascii="宋体" w:hAnsi="宋体" w:eastAsia="宋体" w:cs="宋体"/>
          <w:spacing w:val="-4"/>
          <w:sz w:val="24"/>
          <w:szCs w:val="24"/>
        </w:rPr>
        <w:t>3</w:t>
      </w:r>
      <w:r>
        <w:rPr>
          <w:rFonts w:hint="eastAsia" w:ascii="宋体" w:hAnsi="宋体" w:eastAsia="宋体" w:cs="宋体"/>
          <w:spacing w:val="-40"/>
          <w:sz w:val="24"/>
          <w:szCs w:val="24"/>
        </w:rPr>
        <w:t xml:space="preserve"> </w:t>
      </w:r>
      <w:r>
        <w:rPr>
          <w:rFonts w:hint="eastAsia" w:ascii="宋体" w:hAnsi="宋体" w:eastAsia="宋体" w:cs="宋体"/>
          <w:spacing w:val="-4"/>
          <w:sz w:val="24"/>
          <w:szCs w:val="24"/>
        </w:rPr>
        <w:t>月</w:t>
      </w:r>
      <w:r>
        <w:rPr>
          <w:rFonts w:hint="eastAsia" w:ascii="宋体" w:hAnsi="宋体" w:eastAsia="宋体" w:cs="宋体"/>
          <w:spacing w:val="-41"/>
          <w:sz w:val="24"/>
          <w:szCs w:val="24"/>
        </w:rPr>
        <w:t xml:space="preserve"> </w:t>
      </w:r>
      <w:r>
        <w:rPr>
          <w:rFonts w:hint="eastAsia" w:ascii="宋体" w:hAnsi="宋体" w:eastAsia="宋体" w:cs="宋体"/>
          <w:spacing w:val="-4"/>
          <w:sz w:val="24"/>
          <w:szCs w:val="24"/>
        </w:rPr>
        <w:t>2</w:t>
      </w:r>
      <w:r>
        <w:rPr>
          <w:rFonts w:hint="eastAsia" w:ascii="宋体" w:hAnsi="宋体" w:eastAsia="宋体" w:cs="宋体"/>
          <w:spacing w:val="-5"/>
          <w:sz w:val="24"/>
          <w:szCs w:val="24"/>
        </w:rPr>
        <w:t>8 日，《光明日报》发</w:t>
      </w:r>
      <w:r>
        <w:rPr>
          <w:rFonts w:hint="eastAsia" w:ascii="宋体" w:hAnsi="宋体" w:eastAsia="宋体" w:cs="宋体"/>
          <w:spacing w:val="-1"/>
          <w:sz w:val="24"/>
          <w:szCs w:val="24"/>
        </w:rPr>
        <w:t>表题为《产学研融合发展为“新引擎</w:t>
      </w:r>
      <w:r>
        <w:rPr>
          <w:rFonts w:hint="eastAsia" w:ascii="宋体" w:hAnsi="宋体" w:eastAsia="宋体" w:cs="宋体"/>
          <w:spacing w:val="-72"/>
          <w:sz w:val="24"/>
          <w:szCs w:val="24"/>
        </w:rPr>
        <w:t xml:space="preserve"> </w:t>
      </w:r>
      <w:r>
        <w:rPr>
          <w:rFonts w:hint="eastAsia" w:ascii="宋体" w:hAnsi="宋体" w:eastAsia="宋体" w:cs="宋体"/>
          <w:spacing w:val="-1"/>
          <w:sz w:val="24"/>
          <w:szCs w:val="24"/>
        </w:rPr>
        <w:t>”注入新动能-河南科技大学谱写服务地方经济社会发展新</w:t>
      </w:r>
      <w:r>
        <w:rPr>
          <w:rFonts w:hint="eastAsia" w:ascii="宋体" w:hAnsi="宋体" w:eastAsia="宋体" w:cs="宋体"/>
          <w:sz w:val="24"/>
          <w:szCs w:val="24"/>
        </w:rPr>
        <w:t>篇章》专题报道，高度评价</w:t>
      </w:r>
      <w:r>
        <w:rPr>
          <w:rFonts w:hint="eastAsia" w:ascii="宋体" w:hAnsi="宋体" w:eastAsia="宋体" w:cs="宋体"/>
          <w:sz w:val="24"/>
          <w:szCs w:val="24"/>
          <w:lang w:val="en-US" w:eastAsia="zh-CN"/>
        </w:rPr>
        <w:t>学校</w:t>
      </w:r>
      <w:r>
        <w:rPr>
          <w:rFonts w:hint="eastAsia" w:ascii="宋体" w:hAnsi="宋体" w:eastAsia="宋体" w:cs="宋体"/>
          <w:sz w:val="24"/>
          <w:szCs w:val="24"/>
        </w:rPr>
        <w:t>为服务国家和地区重大</w:t>
      </w:r>
      <w:r>
        <w:rPr>
          <w:rFonts w:hint="eastAsia" w:ascii="宋体" w:hAnsi="宋体" w:eastAsia="宋体" w:cs="宋体"/>
          <w:spacing w:val="-1"/>
          <w:sz w:val="24"/>
          <w:szCs w:val="24"/>
        </w:rPr>
        <w:t>战略需求做出的重要</w:t>
      </w:r>
      <w:r>
        <w:rPr>
          <w:rFonts w:hint="eastAsia" w:ascii="宋体" w:hAnsi="宋体" w:eastAsia="宋体" w:cs="宋体"/>
          <w:spacing w:val="-9"/>
          <w:sz w:val="24"/>
          <w:szCs w:val="24"/>
        </w:rPr>
        <w:t>贡献。</w:t>
      </w:r>
      <w:r>
        <w:rPr>
          <w:rFonts w:hint="eastAsia" w:ascii="宋体" w:hAnsi="宋体" w:eastAsia="宋体" w:cs="宋体"/>
          <w:bCs/>
          <w:sz w:val="24"/>
          <w:szCs w:val="24"/>
          <w:lang w:val="en-US" w:eastAsia="zh-CN"/>
        </w:rPr>
        <w:t>通过政产学研用的深度融合，拓展了</w:t>
      </w:r>
      <w:r>
        <w:rPr>
          <w:rFonts w:hint="eastAsia" w:ascii="宋体" w:hAnsi="宋体" w:eastAsia="宋体" w:cs="宋体"/>
          <w:bCs/>
          <w:sz w:val="24"/>
          <w:szCs w:val="24"/>
        </w:rPr>
        <w:t>特色骨干大学</w:t>
      </w:r>
      <w:r>
        <w:rPr>
          <w:rFonts w:hint="eastAsia" w:ascii="宋体" w:hAnsi="宋体" w:eastAsia="宋体" w:cs="宋体"/>
          <w:bCs/>
          <w:sz w:val="24"/>
          <w:szCs w:val="24"/>
          <w:lang w:val="en-US" w:eastAsia="zh-CN"/>
        </w:rPr>
        <w:t>的教育领域和发展空间，克服了校内各种资源不足的瓶颈制约：促进了教师队伍向生产一线的管理和技术人才延伸，一大批富有经验的企业家和技术人员被充实到教师队伍，强化了理论教学与实践教学的融合；促进了实践教学平台向行业企业延伸，建立了一大批相对稳定的校外实习实训基地，强化了应用复合型人才的培养；促进了科研平台向社会延伸，各种科研实验基地遍及各地，提高了科研创新能力和解决生产实际问题的能力。</w:t>
      </w:r>
    </w:p>
    <w:p w14:paraId="750E72F7">
      <w:pPr>
        <w:pStyle w:val="6"/>
        <w:spacing w:line="360" w:lineRule="auto"/>
        <w:outlineLvl w:val="1"/>
        <w:rPr>
          <w:rFonts w:hint="default" w:ascii="宋体" w:hAnsi="宋体" w:eastAsia="宋体" w:cs="宋体"/>
          <w:b/>
          <w:bCs w:val="0"/>
          <w:sz w:val="24"/>
          <w:szCs w:val="24"/>
          <w:lang w:val="en-US" w:eastAsia="zh-CN"/>
        </w:rPr>
      </w:pPr>
      <w:bookmarkStart w:id="10" w:name="_Toc27025"/>
      <w:r>
        <w:rPr>
          <w:rFonts w:hint="eastAsia" w:hAnsi="宋体" w:eastAsia="宋体" w:cs="宋体"/>
          <w:b/>
          <w:bCs w:val="0"/>
          <w:sz w:val="24"/>
          <w:szCs w:val="24"/>
          <w:lang w:val="en-US" w:eastAsia="zh-CN"/>
        </w:rPr>
        <w:t>3</w:t>
      </w:r>
      <w:r>
        <w:rPr>
          <w:rFonts w:hint="eastAsia" w:ascii="宋体" w:hAnsi="宋体" w:eastAsia="宋体" w:cs="宋体"/>
          <w:b/>
          <w:bCs w:val="0"/>
          <w:sz w:val="24"/>
          <w:szCs w:val="24"/>
          <w:lang w:val="en-US" w:eastAsia="zh-CN"/>
        </w:rPr>
        <w:t>.4坚持</w:t>
      </w:r>
      <w:r>
        <w:rPr>
          <w:rFonts w:hint="eastAsia" w:hAnsi="宋体" w:eastAsia="宋体" w:cs="宋体"/>
          <w:b/>
          <w:bCs w:val="0"/>
          <w:sz w:val="24"/>
          <w:szCs w:val="24"/>
          <w:lang w:val="en-US" w:eastAsia="zh-CN"/>
        </w:rPr>
        <w:t>创新发展</w:t>
      </w:r>
      <w:r>
        <w:rPr>
          <w:rFonts w:hint="eastAsia" w:ascii="宋体" w:hAnsi="宋体" w:eastAsia="宋体" w:cs="宋体"/>
          <w:b/>
          <w:bCs w:val="0"/>
          <w:sz w:val="24"/>
          <w:szCs w:val="24"/>
          <w:lang w:val="en-US" w:eastAsia="zh-CN"/>
        </w:rPr>
        <w:t>，</w:t>
      </w:r>
      <w:r>
        <w:rPr>
          <w:rFonts w:hint="eastAsia" w:hAnsi="宋体" w:eastAsia="宋体" w:cs="宋体"/>
          <w:b/>
          <w:bCs w:val="0"/>
          <w:sz w:val="24"/>
          <w:szCs w:val="24"/>
          <w:lang w:val="en-US" w:eastAsia="zh-CN"/>
        </w:rPr>
        <w:t>“五链同构”多元育人</w:t>
      </w:r>
      <w:bookmarkEnd w:id="10"/>
    </w:p>
    <w:p w14:paraId="2947B80B">
      <w:pPr>
        <w:pStyle w:val="6"/>
        <w:spacing w:line="360" w:lineRule="auto"/>
        <w:ind w:firstLine="480" w:firstLineChars="200"/>
        <w:rPr>
          <w:rFonts w:hint="eastAsia" w:ascii="宋体" w:hAnsi="宋体" w:eastAsia="宋体" w:cs="宋体"/>
          <w:bCs/>
          <w:sz w:val="24"/>
          <w:szCs w:val="24"/>
          <w:lang w:val="en-US" w:eastAsia="zh-CN"/>
        </w:rPr>
      </w:pPr>
      <w:r>
        <w:rPr>
          <w:rFonts w:hint="eastAsia" w:hAnsi="宋体" w:eastAsia="宋体" w:cs="宋体"/>
          <w:bCs/>
          <w:sz w:val="24"/>
          <w:szCs w:val="24"/>
          <w:lang w:val="en-US" w:eastAsia="zh-CN"/>
        </w:rPr>
        <w:t>河南农业大学</w:t>
      </w:r>
      <w:r>
        <w:rPr>
          <w:rFonts w:hint="eastAsia" w:ascii="宋体" w:hAnsi="宋体" w:eastAsia="宋体" w:cs="宋体"/>
          <w:bCs/>
          <w:sz w:val="24"/>
          <w:szCs w:val="24"/>
          <w:lang w:val="en-US" w:eastAsia="zh-CN"/>
        </w:rPr>
        <w:t>创新办学模式，对接产业需求，推进校企育人要素和创新资源共享、互动，与牧原集团共建农大牧原畜牧联合产业研究院，与华为技术有限公司等共建10个现代产业学院，与郑州宇通集团有限公司等共建6个特色行业学院，与茅台、双汇、三全、思念、锅圈等近百家知名公司开展全方位校企合作，以产教融合推动学科链、人才链与创新链、产业链、资金链多链同构。其中，动物科技学院与正大集团、傲农集团合作，举办了</w:t>
      </w:r>
      <w:r>
        <w:rPr>
          <w:rFonts w:hint="eastAsia" w:hAnsi="宋体" w:eastAsia="宋体" w:cs="宋体"/>
          <w:bCs/>
          <w:sz w:val="24"/>
          <w:szCs w:val="24"/>
          <w:lang w:val="en-US" w:eastAsia="zh-CN"/>
        </w:rPr>
        <w:t>“</w:t>
      </w:r>
      <w:r>
        <w:rPr>
          <w:rFonts w:hint="eastAsia" w:ascii="宋体" w:hAnsi="宋体" w:eastAsia="宋体" w:cs="宋体"/>
          <w:bCs/>
          <w:sz w:val="24"/>
          <w:szCs w:val="24"/>
          <w:lang w:val="en-US" w:eastAsia="zh-CN"/>
        </w:rPr>
        <w:t>正大动科班”“傲农精英班”，是产教融合校企合作的载体，是创新人才培养模式的探索，是学院提升服务地方经济能力的有效途径，是落实“立德树人、强农兴农”的具体举措，毕业后可直接入职正大集团，真正实现了上学无忧、就业不愁、质量提升的人才合作培养目标</w:t>
      </w:r>
      <w:r>
        <w:rPr>
          <w:rFonts w:hint="eastAsia" w:hAnsi="宋体" w:eastAsia="宋体" w:cs="宋体"/>
          <w:bCs/>
          <w:sz w:val="24"/>
          <w:szCs w:val="24"/>
          <w:lang w:val="en-US" w:eastAsia="zh-CN"/>
        </w:rPr>
        <w:t>，</w:t>
      </w:r>
      <w:r>
        <w:rPr>
          <w:rFonts w:hint="eastAsia" w:ascii="宋体" w:hAnsi="宋体" w:eastAsia="宋体" w:cs="宋体"/>
          <w:bCs/>
          <w:sz w:val="24"/>
          <w:szCs w:val="24"/>
          <w:lang w:val="en-US" w:eastAsia="zh-CN"/>
        </w:rPr>
        <w:t>实现了企业对人才的“订单式培养”，助推了学生、学校、企业三方共赢。</w:t>
      </w:r>
    </w:p>
    <w:p w14:paraId="792849F2">
      <w:pPr>
        <w:pStyle w:val="6"/>
        <w:spacing w:line="360" w:lineRule="auto"/>
        <w:outlineLvl w:val="0"/>
        <w:rPr>
          <w:rFonts w:hint="eastAsia" w:ascii="黑体" w:hAnsi="黑体" w:eastAsia="黑体" w:cs="黑体"/>
          <w:bCs/>
          <w:sz w:val="28"/>
          <w:szCs w:val="28"/>
          <w:lang w:val="en-US" w:eastAsia="zh-CN"/>
        </w:rPr>
      </w:pPr>
      <w:bookmarkStart w:id="11" w:name="_Toc24324"/>
      <w:r>
        <w:rPr>
          <w:rFonts w:hint="eastAsia" w:ascii="黑体" w:hAnsi="黑体" w:eastAsia="黑体" w:cs="黑体"/>
          <w:bCs/>
          <w:sz w:val="28"/>
          <w:szCs w:val="28"/>
          <w:lang w:val="en-US" w:eastAsia="zh-CN"/>
        </w:rPr>
        <w:t>4</w:t>
      </w:r>
      <w:r>
        <w:rPr>
          <w:rFonts w:hint="eastAsia" w:ascii="黑体" w:hAnsi="黑体" w:eastAsia="黑体" w:cs="黑体"/>
          <w:bCs/>
          <w:sz w:val="28"/>
          <w:szCs w:val="28"/>
        </w:rPr>
        <w:t>.区域特色骨干大学产教融合的</w:t>
      </w:r>
      <w:r>
        <w:rPr>
          <w:rFonts w:hint="eastAsia" w:ascii="黑体" w:hAnsi="黑体" w:eastAsia="黑体" w:cs="黑体"/>
          <w:bCs/>
          <w:sz w:val="28"/>
          <w:szCs w:val="28"/>
          <w:lang w:val="en-US" w:eastAsia="zh-CN"/>
        </w:rPr>
        <w:t>机制</w:t>
      </w:r>
      <w:bookmarkEnd w:id="11"/>
    </w:p>
    <w:p w14:paraId="0E94C288">
      <w:pPr>
        <w:spacing w:line="360" w:lineRule="auto"/>
        <w:ind w:firstLine="480" w:firstLineChars="20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产教融合过程中各种因素相互联系，</w:t>
      </w:r>
      <w:r>
        <w:rPr>
          <w:rFonts w:hint="eastAsia" w:ascii="宋体" w:hAnsi="宋体" w:eastAsia="宋体" w:cs="宋体"/>
          <w:bCs/>
          <w:kern w:val="2"/>
          <w:sz w:val="24"/>
          <w:szCs w:val="24"/>
          <w:lang w:val="en-US" w:eastAsia="zh-CN" w:bidi="ar-SA"/>
        </w:rPr>
        <w:fldChar w:fldCharType="begin"/>
      </w:r>
      <w:r>
        <w:rPr>
          <w:rFonts w:hint="eastAsia" w:ascii="宋体" w:hAnsi="宋体" w:eastAsia="宋体" w:cs="宋体"/>
          <w:bCs/>
          <w:kern w:val="2"/>
          <w:sz w:val="24"/>
          <w:szCs w:val="24"/>
          <w:lang w:val="en-US" w:eastAsia="zh-CN" w:bidi="ar-SA"/>
        </w:rPr>
        <w:instrText xml:space="preserve"> HYPERLINK "http://baike.haosou.com/doc/5703886.html" </w:instrText>
      </w:r>
      <w:r>
        <w:rPr>
          <w:rFonts w:hint="eastAsia" w:ascii="宋体" w:hAnsi="宋体" w:eastAsia="宋体" w:cs="宋体"/>
          <w:bCs/>
          <w:kern w:val="2"/>
          <w:sz w:val="24"/>
          <w:szCs w:val="24"/>
          <w:lang w:val="en-US" w:eastAsia="zh-CN" w:bidi="ar-SA"/>
        </w:rPr>
        <w:fldChar w:fldCharType="separate"/>
      </w:r>
      <w:r>
        <w:rPr>
          <w:rFonts w:hint="eastAsia" w:ascii="宋体" w:hAnsi="宋体" w:eastAsia="宋体" w:cs="宋体"/>
          <w:bCs/>
          <w:kern w:val="2"/>
          <w:sz w:val="24"/>
          <w:szCs w:val="24"/>
          <w:lang w:val="en-US" w:eastAsia="zh-CN" w:bidi="ar-SA"/>
        </w:rPr>
        <w:t>相互作用</w:t>
      </w:r>
      <w:r>
        <w:rPr>
          <w:rFonts w:hint="eastAsia" w:ascii="宋体" w:hAnsi="宋体" w:eastAsia="宋体" w:cs="宋体"/>
          <w:bCs/>
          <w:kern w:val="2"/>
          <w:sz w:val="24"/>
          <w:szCs w:val="24"/>
          <w:lang w:val="en-US" w:eastAsia="zh-CN" w:bidi="ar-SA"/>
        </w:rPr>
        <w:fldChar w:fldCharType="end"/>
      </w:r>
      <w:r>
        <w:rPr>
          <w:rFonts w:hint="eastAsia" w:ascii="宋体" w:hAnsi="宋体" w:eastAsia="宋体" w:cs="宋体"/>
          <w:bCs/>
          <w:kern w:val="2"/>
          <w:sz w:val="24"/>
          <w:szCs w:val="24"/>
          <w:lang w:val="en-US" w:eastAsia="zh-CN" w:bidi="ar-SA"/>
        </w:rPr>
        <w:t>，要保证其目标和任务真正实现，必须建立一套协调、灵活、高效的运行机制。产教融合运行机制是指产教融合过程中实现相关要素相互联系的动力、程序和规则的集合，即产教融合主体和相关对象与要素在产教融合过程中的内在联系、相互作用的动力以及运行机理等。良好的机制能够为产教融合中心提供动力支撑、人才支撑、资源支撑，能够有效协同各个创新参与主体，整合其资源、人才、资金设备等，能够为产教融合提供有力的保障，从而促进其向更好的方向发展。</w:t>
      </w:r>
    </w:p>
    <w:p w14:paraId="7561761A">
      <w:pPr>
        <w:pStyle w:val="6"/>
        <w:spacing w:line="360" w:lineRule="auto"/>
        <w:outlineLvl w:val="1"/>
        <w:rPr>
          <w:rFonts w:hint="eastAsia" w:hAnsi="宋体" w:eastAsia="宋体" w:cs="宋体"/>
          <w:b/>
          <w:bCs w:val="0"/>
          <w:sz w:val="24"/>
          <w:szCs w:val="24"/>
          <w:lang w:val="zh-CN" w:eastAsia="zh-CN"/>
        </w:rPr>
      </w:pPr>
      <w:bookmarkStart w:id="12" w:name="_Toc1371"/>
      <w:bookmarkEnd w:id="12"/>
      <w:bookmarkStart w:id="13" w:name="_Toc494436309"/>
      <w:bookmarkStart w:id="14" w:name="_Toc496119770"/>
      <w:bookmarkStart w:id="15" w:name="_Toc19790"/>
      <w:bookmarkStart w:id="16" w:name="_Toc8346"/>
      <w:r>
        <w:rPr>
          <w:rFonts w:hint="eastAsia" w:hAnsi="宋体" w:eastAsia="宋体" w:cs="宋体"/>
          <w:b/>
          <w:bCs w:val="0"/>
          <w:sz w:val="24"/>
          <w:szCs w:val="24"/>
          <w:lang w:val="en-US" w:eastAsia="zh-CN"/>
        </w:rPr>
        <w:t>4</w:t>
      </w:r>
      <w:r>
        <w:rPr>
          <w:rFonts w:hint="eastAsia" w:hAnsi="宋体" w:eastAsia="宋体" w:cs="宋体"/>
          <w:b/>
          <w:bCs w:val="0"/>
          <w:sz w:val="24"/>
          <w:szCs w:val="24"/>
          <w:lang w:val="zh-CN" w:eastAsia="zh-CN"/>
        </w:rPr>
        <w:t xml:space="preserve">.1 </w:t>
      </w:r>
      <w:r>
        <w:rPr>
          <w:rFonts w:hint="eastAsia" w:hAnsi="宋体" w:eastAsia="宋体" w:cs="宋体"/>
          <w:b/>
          <w:bCs w:val="0"/>
          <w:sz w:val="24"/>
          <w:szCs w:val="24"/>
          <w:lang w:val="en-US" w:eastAsia="zh-CN"/>
        </w:rPr>
        <w:t>产教融合</w:t>
      </w:r>
      <w:r>
        <w:rPr>
          <w:rFonts w:hint="eastAsia" w:hAnsi="宋体" w:eastAsia="宋体" w:cs="宋体"/>
          <w:b/>
          <w:bCs w:val="0"/>
          <w:sz w:val="24"/>
          <w:szCs w:val="24"/>
          <w:lang w:val="zh-CN" w:eastAsia="zh-CN"/>
        </w:rPr>
        <w:t>动力机制</w:t>
      </w:r>
      <w:bookmarkEnd w:id="13"/>
      <w:bookmarkEnd w:id="14"/>
      <w:bookmarkEnd w:id="15"/>
      <w:bookmarkEnd w:id="16"/>
    </w:p>
    <w:p w14:paraId="1B236136">
      <w:pPr>
        <w:spacing w:line="360" w:lineRule="auto"/>
        <w:ind w:firstLine="480" w:firstLineChars="200"/>
        <w:rPr>
          <w:rFonts w:hint="eastAsia" w:ascii="宋体" w:hAnsi="宋体" w:eastAsia="宋体" w:cs="宋体"/>
          <w:bCs/>
          <w:kern w:val="2"/>
          <w:sz w:val="21"/>
          <w:szCs w:val="21"/>
          <w:lang w:val="en-US" w:eastAsia="zh-CN" w:bidi="ar-SA"/>
        </w:rPr>
      </w:pPr>
      <w:r>
        <w:rPr>
          <w:rFonts w:hint="eastAsia" w:ascii="宋体" w:hAnsi="宋体" w:eastAsia="宋体" w:cs="宋体"/>
          <w:bCs/>
          <w:kern w:val="2"/>
          <w:sz w:val="24"/>
          <w:szCs w:val="24"/>
          <w:lang w:val="en-US" w:eastAsia="zh-CN" w:bidi="ar-SA"/>
        </w:rPr>
        <w:t>在产教融合过程中会涉及各创新主体各方面的各种问题，如利益分配、资源共享、道德风险、科研实力等，若要保证产教融合的高效性，就必须针对这些问题建立有效的动力机制，全面分析影响高校产教融合的动力因素，从而提高各协同主体参与的积极性。</w:t>
      </w:r>
      <w:bookmarkStart w:id="17" w:name="_Toc421542587"/>
      <w:bookmarkEnd w:id="17"/>
    </w:p>
    <w:p w14:paraId="422098F9">
      <w:pPr>
        <w:spacing w:line="360" w:lineRule="auto"/>
        <w:outlineLvl w:val="2"/>
        <w:rPr>
          <w:rFonts w:hint="eastAsia" w:ascii="宋体" w:hAnsi="宋体" w:eastAsia="宋体" w:cs="宋体"/>
          <w:b/>
          <w:bCs w:val="0"/>
          <w:kern w:val="2"/>
          <w:sz w:val="21"/>
          <w:szCs w:val="21"/>
          <w:lang w:val="zh-CN" w:eastAsia="zh-CN" w:bidi="ar-SA"/>
        </w:rPr>
      </w:pPr>
      <w:bookmarkStart w:id="18" w:name="_Toc22422"/>
      <w:bookmarkEnd w:id="18"/>
      <w:bookmarkStart w:id="19" w:name="_Toc496119771"/>
      <w:bookmarkStart w:id="20" w:name="_Toc16007"/>
      <w:bookmarkStart w:id="21" w:name="_Toc6457"/>
      <w:bookmarkStart w:id="22" w:name="_Toc494436310"/>
      <w:r>
        <w:rPr>
          <w:rFonts w:hint="eastAsia" w:ascii="宋体" w:hAnsi="宋体" w:eastAsia="宋体" w:cs="宋体"/>
          <w:b/>
          <w:bCs w:val="0"/>
          <w:kern w:val="2"/>
          <w:sz w:val="21"/>
          <w:szCs w:val="21"/>
          <w:lang w:val="en-US" w:eastAsia="zh-CN" w:bidi="ar-SA"/>
        </w:rPr>
        <w:t>4</w:t>
      </w:r>
      <w:r>
        <w:rPr>
          <w:rFonts w:hint="eastAsia" w:ascii="宋体" w:hAnsi="宋体" w:eastAsia="宋体" w:cs="宋体"/>
          <w:b/>
          <w:bCs w:val="0"/>
          <w:kern w:val="2"/>
          <w:sz w:val="21"/>
          <w:szCs w:val="21"/>
          <w:lang w:val="zh-CN" w:eastAsia="zh-CN" w:bidi="ar-SA"/>
        </w:rPr>
        <w:t>.1.1 利益驱动</w:t>
      </w:r>
      <w:bookmarkEnd w:id="19"/>
      <w:bookmarkEnd w:id="20"/>
      <w:bookmarkEnd w:id="21"/>
      <w:bookmarkEnd w:id="22"/>
    </w:p>
    <w:p w14:paraId="0AF72FE2">
      <w:pPr>
        <w:spacing w:line="360" w:lineRule="auto"/>
        <w:ind w:firstLine="480" w:firstLineChars="20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追求利益是各主体参与产教融合的前提和基本动力。各个参与者都想获得最大的效益价值。对于高等院校来讲，要通过开展国家急需的战略性研究、探索科学技术尖端领域的前瞻性研究、涉及国计民生重大问题的公益性研究，把创新人才培养、学科交叉集成、体制机制改革和重大问题解决紧密地结合在一起，进而实现创新能力、人才培养质量和社会声誉的同步提升。其中，高校的社会声誉体现为:通过产教融合，学术水平得到发展，办学效益和教育质量水平得到提高，有利于吸引更多优秀人才加入其科研队伍，提高学校的竞争力、适应社会需要的能力及可持续发展的能力，进而提升其国际学术影响力和学术话语权。而企业希望通过产教融合来提高自身产品开发和技术创新的能力，为获取更多的经济利益提供基础和依靠力量，让自己的产品服务能更好的同步于社会的发展，保持自己在社会市场竞争中的优势。</w:t>
      </w:r>
    </w:p>
    <w:p w14:paraId="1600DDEC">
      <w:pPr>
        <w:spacing w:line="360" w:lineRule="auto"/>
        <w:ind w:firstLine="480" w:firstLineChars="20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产教融合过程的利益协调是产教融合健康可持续进行的重要保证。高校是知识库和创新源，高校的科研成果只有通过企业进行成果孵化和产业化，才能被市场广泛吸收，服务社会经济生活，实现经济利益；企业只有生产技术领先、竞争力强的产品，才能使产品的市场优势明显，取得更好的经济效益。因此，企业可以通过横向课题、联合攻关等形式与高校开展产学研合作，高校的创新成果通过企业的试制、改进和包装，从而产业化后才能走向市场。要千方百计通过各种努力消除信息不对称过程中的彼此不信任感，要对各方的协同工作进行评估，对各方付出的价值进行权衡，找到利益分配的契合点，从而解决好协同过程中利益分配问题。对于产教融合过程的利益冲突，应当充分把握参与者的各自特性，建立各层次利益诉求渠道，积极、主动协调解决各种冲突和纠纷。</w:t>
      </w:r>
    </w:p>
    <w:p w14:paraId="3151EB63">
      <w:pPr>
        <w:spacing w:line="360" w:lineRule="auto"/>
        <w:outlineLvl w:val="2"/>
        <w:rPr>
          <w:rFonts w:hint="eastAsia" w:ascii="宋体" w:hAnsi="宋体" w:eastAsia="宋体" w:cs="宋体"/>
          <w:b/>
          <w:bCs w:val="0"/>
          <w:kern w:val="2"/>
          <w:sz w:val="24"/>
          <w:szCs w:val="24"/>
          <w:lang w:val="en-US" w:eastAsia="zh-CN" w:bidi="ar-SA"/>
        </w:rPr>
      </w:pPr>
      <w:bookmarkStart w:id="23" w:name="_Toc1540"/>
      <w:bookmarkEnd w:id="23"/>
      <w:bookmarkStart w:id="24" w:name="_Toc421542588"/>
      <w:bookmarkEnd w:id="24"/>
      <w:bookmarkStart w:id="25" w:name="_Toc19877"/>
      <w:r>
        <w:rPr>
          <w:rFonts w:hint="eastAsia" w:ascii="宋体" w:hAnsi="宋体" w:eastAsia="宋体" w:cs="宋体"/>
          <w:b/>
          <w:bCs w:val="0"/>
          <w:kern w:val="2"/>
          <w:sz w:val="24"/>
          <w:szCs w:val="24"/>
          <w:lang w:val="en-US" w:eastAsia="zh-CN" w:bidi="ar-SA"/>
        </w:rPr>
        <w:t>4</w:t>
      </w:r>
      <w:r>
        <w:rPr>
          <w:rFonts w:hint="eastAsia" w:ascii="宋体" w:hAnsi="宋体" w:eastAsia="宋体" w:cs="宋体"/>
          <w:b/>
          <w:bCs w:val="0"/>
          <w:kern w:val="2"/>
          <w:sz w:val="24"/>
          <w:szCs w:val="24"/>
          <w:lang w:val="zh-CN" w:eastAsia="zh-CN" w:bidi="ar-SA"/>
        </w:rPr>
        <w:t>.1.</w:t>
      </w:r>
      <w:r>
        <w:rPr>
          <w:rFonts w:hint="eastAsia" w:ascii="宋体" w:hAnsi="宋体" w:eastAsia="宋体" w:cs="宋体"/>
          <w:b/>
          <w:bCs w:val="0"/>
          <w:kern w:val="2"/>
          <w:sz w:val="24"/>
          <w:szCs w:val="24"/>
          <w:lang w:val="en-US" w:eastAsia="zh-CN" w:bidi="ar-SA"/>
        </w:rPr>
        <w:t>2</w:t>
      </w:r>
      <w:r>
        <w:rPr>
          <w:rFonts w:hint="eastAsia" w:ascii="宋体" w:hAnsi="宋体" w:eastAsia="宋体" w:cs="宋体"/>
          <w:b/>
          <w:bCs w:val="0"/>
          <w:kern w:val="2"/>
          <w:sz w:val="24"/>
          <w:szCs w:val="24"/>
          <w:lang w:val="zh-CN" w:eastAsia="zh-CN" w:bidi="ar-SA"/>
        </w:rPr>
        <w:t xml:space="preserve"> </w:t>
      </w:r>
      <w:r>
        <w:rPr>
          <w:rFonts w:hint="eastAsia" w:ascii="宋体" w:hAnsi="宋体" w:eastAsia="宋体" w:cs="宋体"/>
          <w:b/>
          <w:bCs w:val="0"/>
          <w:kern w:val="2"/>
          <w:sz w:val="24"/>
          <w:szCs w:val="24"/>
          <w:lang w:val="en-US" w:eastAsia="zh-CN" w:bidi="ar-SA"/>
        </w:rPr>
        <w:t>制度驱动</w:t>
      </w:r>
      <w:bookmarkEnd w:id="25"/>
    </w:p>
    <w:p w14:paraId="3CB35A5F">
      <w:pPr>
        <w:spacing w:line="360" w:lineRule="auto"/>
        <w:ind w:firstLine="480" w:firstLineChars="20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制度驱动能够实现协同决策、科学决策。从科技决策的层面来说，目前的科研基金分布在不同的政府部门，无法从宏观统筹的角度兼顾到国家国防、基础建设、重大科技攻关和微观国民生产生活的各个领域，容易造成浪费和重复，导致科研基金使用效率偏低。制度驱动能够从宏观重大项目到微观生产生活统一考虑、协同决策，就会提高效率和资金的使用效率。</w:t>
      </w:r>
    </w:p>
    <w:p w14:paraId="5B9647DE">
      <w:pPr>
        <w:spacing w:line="360" w:lineRule="auto"/>
        <w:ind w:firstLine="480" w:firstLineChars="20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制度驱动能够充分发挥政、产、学、研各方的作用。无论是政府的科创园、产业孵化器、实验室、研究所，还是高校的校办企业、产业创业园，都可以把产学研有效地协同起来，可以为企业提供科技政策咨询、科技攻关、技术支持和资金支持，使政府、高校、科研机构在技术评估、知识产权、创新服务和科技法规等方面发挥重大作用，促进知识成果的转化和利用。</w:t>
      </w:r>
    </w:p>
    <w:p w14:paraId="07E4F0A0">
      <w:pPr>
        <w:spacing w:line="360" w:lineRule="auto"/>
        <w:ind w:firstLine="480" w:firstLineChars="20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制度驱动能够优化产学研合作模式。产教融合模式既保持创新协同主体原有的特性，同时又加强了主体间的创新合作，不断激发创新意识，促进共同发展。同时加强高校的学科建设，激发高校的产教融合活力，改革高校内部的管理体制，形成有利于产教融合的高校管理体制。</w:t>
      </w:r>
    </w:p>
    <w:p w14:paraId="67479B2C">
      <w:pPr>
        <w:spacing w:line="360" w:lineRule="auto"/>
        <w:ind w:firstLine="480" w:firstLineChars="20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制度驱动能够促进知识创新、技术创新、产品创新的分割状态向科技工作的上游、中游、下游联合、贯通的方向转变。同时，产教融合中心运行过程中的组织管理、人事制度、科研模式、知识产权、成果收益、资源配置方式以及创新文化建设等方面的问题，涉及多方面、系统性的综合改革，需要积极探索、及时总结，建立健全有利于产教融合持续发展的长效制度体系，通过制度驱动来有效释放人才、资源等创新要素的活力。</w:t>
      </w:r>
      <w:bookmarkStart w:id="26" w:name="_Toc8909"/>
      <w:bookmarkEnd w:id="26"/>
      <w:bookmarkStart w:id="27" w:name="_Toc24463"/>
    </w:p>
    <w:p w14:paraId="0AD875CD">
      <w:pPr>
        <w:spacing w:line="360" w:lineRule="auto"/>
        <w:outlineLvl w:val="2"/>
        <w:rPr>
          <w:rFonts w:hint="eastAsia" w:ascii="宋体" w:hAnsi="宋体" w:eastAsia="宋体" w:cs="宋体"/>
          <w:b/>
          <w:bCs w:val="0"/>
          <w:kern w:val="2"/>
          <w:sz w:val="24"/>
          <w:szCs w:val="24"/>
          <w:lang w:val="zh-CN" w:eastAsia="zh-CN" w:bidi="ar-SA"/>
        </w:rPr>
      </w:pPr>
      <w:bookmarkStart w:id="28" w:name="_Toc494436312"/>
      <w:bookmarkStart w:id="29" w:name="_Toc4665"/>
      <w:bookmarkStart w:id="30" w:name="_Toc496119773"/>
      <w:r>
        <w:rPr>
          <w:rFonts w:hint="eastAsia" w:ascii="宋体" w:hAnsi="宋体" w:eastAsia="宋体" w:cs="宋体"/>
          <w:b/>
          <w:bCs w:val="0"/>
          <w:kern w:val="2"/>
          <w:sz w:val="24"/>
          <w:szCs w:val="24"/>
          <w:lang w:val="en-US" w:eastAsia="zh-CN" w:bidi="ar-SA"/>
        </w:rPr>
        <w:t>4</w:t>
      </w:r>
      <w:r>
        <w:rPr>
          <w:rFonts w:hint="eastAsia" w:ascii="宋体" w:hAnsi="宋体" w:eastAsia="宋体" w:cs="宋体"/>
          <w:b/>
          <w:bCs w:val="0"/>
          <w:kern w:val="2"/>
          <w:sz w:val="24"/>
          <w:szCs w:val="24"/>
          <w:lang w:val="zh-CN" w:eastAsia="zh-CN" w:bidi="ar-SA"/>
        </w:rPr>
        <w:t>.1.3 市场驱动</w:t>
      </w:r>
      <w:bookmarkEnd w:id="27"/>
      <w:bookmarkEnd w:id="28"/>
      <w:bookmarkEnd w:id="29"/>
      <w:bookmarkEnd w:id="30"/>
    </w:p>
    <w:p w14:paraId="1251528D">
      <w:pPr>
        <w:spacing w:line="360" w:lineRule="auto"/>
        <w:ind w:firstLine="480" w:firstLineChars="20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产教融合的市场驱动就是要发现、适应并重视与满足社会经济发展的需求。企业活跃于市场前沿，作为市场中的主体，是科研成果的检验者和推广者，但其自身而言，研发资源不足，研发经费短缺的劣势也制约着企业的自主研发。同样，高校很多满足市场需求的技术成果由于自身不具备将技术成果转化为现实产品的条件，这时高校就会寻求效益转化途径，希望凭借企业在设备、市场等方面的优势，将科研技术成果转化为现实生产力，转化为自身效益，获得报酬，进而实现产业化。市场的需求把高校与企业紧密联系起来，形成了资源共享、共同开发等全方位合作，成为高校产教融合的主要动力之一。</w:t>
      </w:r>
      <w:bookmarkStart w:id="31" w:name="_Toc421542590"/>
      <w:bookmarkEnd w:id="31"/>
    </w:p>
    <w:p w14:paraId="3E599AB2">
      <w:pPr>
        <w:spacing w:line="360" w:lineRule="auto"/>
        <w:ind w:firstLine="480" w:firstLineChars="20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高校产教融合活动开展的关键在于注重市场机制作用的发挥，以市场运作共同推动高校产教融合发展，充分发挥市场在资源配置中的重要作用。这就要求高校产教融合合作也必须走向市场，以市场发展需求为导向，在市场发展中寻求合作伙伴，主动投身于市场发展潮流当中，获得并科学配置相关的要素和资源，辅之以管理方式创新，以达到产教融合的目的。</w:t>
      </w:r>
      <w:bookmarkStart w:id="32" w:name="_Toc19944"/>
      <w:bookmarkEnd w:id="32"/>
      <w:bookmarkStart w:id="33" w:name="_Toc23609"/>
    </w:p>
    <w:bookmarkEnd w:id="33"/>
    <w:p w14:paraId="23CB31CB">
      <w:pPr>
        <w:pStyle w:val="6"/>
        <w:spacing w:line="360" w:lineRule="auto"/>
        <w:outlineLvl w:val="1"/>
        <w:rPr>
          <w:rFonts w:hint="eastAsia" w:hAnsi="宋体" w:eastAsia="宋体" w:cs="宋体"/>
          <w:b/>
          <w:bCs w:val="0"/>
          <w:sz w:val="24"/>
          <w:szCs w:val="24"/>
          <w:lang w:val="zh-CN" w:eastAsia="zh-CN"/>
        </w:rPr>
      </w:pPr>
      <w:bookmarkStart w:id="34" w:name="_Toc6943"/>
      <w:bookmarkEnd w:id="34"/>
      <w:bookmarkStart w:id="35" w:name="_Toc15977"/>
      <w:bookmarkStart w:id="36" w:name="_Toc494436314"/>
      <w:bookmarkStart w:id="37" w:name="_Toc496119775"/>
      <w:bookmarkStart w:id="38" w:name="_Toc10466"/>
      <w:r>
        <w:rPr>
          <w:rFonts w:hint="eastAsia" w:hAnsi="宋体" w:eastAsia="宋体" w:cs="宋体"/>
          <w:b/>
          <w:bCs w:val="0"/>
          <w:sz w:val="24"/>
          <w:szCs w:val="24"/>
          <w:lang w:val="en-US" w:eastAsia="zh-CN"/>
        </w:rPr>
        <w:t>4</w:t>
      </w:r>
      <w:r>
        <w:rPr>
          <w:rFonts w:hint="eastAsia" w:hAnsi="宋体" w:eastAsia="宋体" w:cs="宋体"/>
          <w:b/>
          <w:bCs w:val="0"/>
          <w:sz w:val="24"/>
          <w:szCs w:val="24"/>
          <w:lang w:val="zh-CN" w:eastAsia="zh-CN"/>
        </w:rPr>
        <w:t xml:space="preserve">.2 </w:t>
      </w:r>
      <w:bookmarkEnd w:id="35"/>
      <w:bookmarkEnd w:id="36"/>
      <w:bookmarkEnd w:id="37"/>
      <w:bookmarkStart w:id="39" w:name="_Toc5171"/>
      <w:bookmarkEnd w:id="39"/>
      <w:bookmarkStart w:id="40" w:name="_Toc10519"/>
      <w:bookmarkEnd w:id="40"/>
      <w:bookmarkStart w:id="41" w:name="_Toc494436319"/>
      <w:bookmarkStart w:id="42" w:name="_Toc496119779"/>
      <w:r>
        <w:rPr>
          <w:rFonts w:hint="eastAsia" w:hAnsi="宋体" w:eastAsia="宋体" w:cs="宋体"/>
          <w:b/>
          <w:bCs w:val="0"/>
          <w:sz w:val="24"/>
          <w:szCs w:val="24"/>
          <w:lang w:val="en-US" w:eastAsia="zh-CN"/>
        </w:rPr>
        <w:t>产教融合</w:t>
      </w:r>
      <w:r>
        <w:rPr>
          <w:rFonts w:hint="eastAsia" w:hAnsi="宋体" w:eastAsia="宋体" w:cs="宋体"/>
          <w:b/>
          <w:bCs w:val="0"/>
          <w:sz w:val="24"/>
          <w:szCs w:val="24"/>
          <w:lang w:val="zh-CN" w:eastAsia="zh-CN"/>
        </w:rPr>
        <w:t>协调与反馈机制</w:t>
      </w:r>
      <w:bookmarkEnd w:id="38"/>
      <w:bookmarkEnd w:id="41"/>
      <w:bookmarkEnd w:id="42"/>
    </w:p>
    <w:p w14:paraId="44428D0F">
      <w:pPr>
        <w:spacing w:line="360" w:lineRule="auto"/>
        <w:ind w:firstLine="480" w:firstLineChars="200"/>
        <w:rPr>
          <w:rFonts w:hint="eastAsia" w:ascii="宋体" w:hAnsi="宋体" w:eastAsia="宋体" w:cs="宋体"/>
          <w:bCs/>
          <w:kern w:val="2"/>
          <w:sz w:val="24"/>
          <w:szCs w:val="24"/>
          <w:lang w:val="zh-CN" w:eastAsia="zh-CN" w:bidi="ar-SA"/>
        </w:rPr>
      </w:pPr>
      <w:r>
        <w:rPr>
          <w:rFonts w:hint="eastAsia" w:ascii="宋体" w:hAnsi="宋体" w:eastAsia="宋体" w:cs="宋体"/>
          <w:bCs/>
          <w:kern w:val="2"/>
          <w:sz w:val="24"/>
          <w:szCs w:val="24"/>
          <w:lang w:val="en-US" w:eastAsia="zh-CN" w:bidi="ar-SA"/>
        </w:rPr>
        <w:t>产教融合是一个多方合作的过程，涉及面广，信息繁杂，事务繁多，需要建立完善的沟通协调和信息反馈机制。只有沟通协调顺畅、信息反馈及时，才能增强互信、促进和谐，才能解决产教融合不同阶段中存在的各种问题，实现各主体之间的良好协作。</w:t>
      </w:r>
    </w:p>
    <w:p w14:paraId="728868ED">
      <w:pPr>
        <w:spacing w:line="360" w:lineRule="auto"/>
        <w:outlineLvl w:val="2"/>
        <w:rPr>
          <w:rFonts w:hint="eastAsia" w:ascii="宋体" w:hAnsi="宋体" w:eastAsia="宋体" w:cs="宋体"/>
          <w:b/>
          <w:bCs w:val="0"/>
          <w:kern w:val="2"/>
          <w:sz w:val="24"/>
          <w:szCs w:val="24"/>
          <w:lang w:val="zh-CN" w:eastAsia="zh-CN" w:bidi="ar-SA"/>
        </w:rPr>
      </w:pPr>
      <w:bookmarkStart w:id="43" w:name="_Toc3371"/>
      <w:bookmarkEnd w:id="43"/>
      <w:bookmarkStart w:id="44" w:name="_Toc494436320"/>
      <w:bookmarkStart w:id="45" w:name="_Toc13261"/>
      <w:bookmarkStart w:id="46" w:name="_Toc23022"/>
      <w:bookmarkStart w:id="47" w:name="_Toc496119780"/>
      <w:r>
        <w:rPr>
          <w:rFonts w:hint="eastAsia" w:ascii="宋体" w:hAnsi="宋体" w:eastAsia="宋体" w:cs="宋体"/>
          <w:b/>
          <w:bCs w:val="0"/>
          <w:kern w:val="2"/>
          <w:sz w:val="24"/>
          <w:szCs w:val="24"/>
          <w:lang w:val="en-US" w:eastAsia="zh-CN" w:bidi="ar-SA"/>
        </w:rPr>
        <w:t>4.2</w:t>
      </w:r>
      <w:r>
        <w:rPr>
          <w:rFonts w:hint="eastAsia" w:ascii="宋体" w:hAnsi="宋体" w:eastAsia="宋体" w:cs="宋体"/>
          <w:b/>
          <w:bCs w:val="0"/>
          <w:kern w:val="2"/>
          <w:sz w:val="24"/>
          <w:szCs w:val="24"/>
          <w:lang w:val="zh-CN" w:eastAsia="zh-CN" w:bidi="ar-SA"/>
        </w:rPr>
        <w:t xml:space="preserve">.1 </w:t>
      </w:r>
      <w:bookmarkEnd w:id="44"/>
      <w:bookmarkEnd w:id="45"/>
      <w:r>
        <w:rPr>
          <w:rFonts w:hint="eastAsia" w:ascii="宋体" w:hAnsi="宋体" w:eastAsia="宋体" w:cs="宋体"/>
          <w:b/>
          <w:bCs w:val="0"/>
          <w:kern w:val="2"/>
          <w:sz w:val="24"/>
          <w:szCs w:val="24"/>
          <w:lang w:val="zh-CN" w:eastAsia="zh-CN" w:bidi="ar-SA"/>
        </w:rPr>
        <w:t>沟通协调</w:t>
      </w:r>
      <w:bookmarkEnd w:id="46"/>
      <w:bookmarkEnd w:id="47"/>
    </w:p>
    <w:p w14:paraId="42CA2BDA">
      <w:pPr>
        <w:spacing w:line="360" w:lineRule="auto"/>
        <w:ind w:firstLine="480" w:firstLineChars="20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沟通协调机制是指通过运用沟通和协调，达到思想上的一致和行动上的统一，实现管理的整体高效所应遵循的规律和原则，以及所应采取的方法和艺术。高校在产教融合过程中需要各主体、各部门之间不断地沟通与协商，并在沟通中激发出思想碰撞的火花，这样才能更好地促进产教融合目标的达成。同时，在合作成果的利益分配过程中，由于各个相关主体的权责不等，难免会存在一定的分歧，因此也需要相对完备的沟通协调机制予以协商解决。</w:t>
      </w:r>
    </w:p>
    <w:p w14:paraId="75ADFA27">
      <w:pPr>
        <w:shd w:val="clear" w:color="auto" w:fill="FFFFFF"/>
        <w:spacing w:line="360" w:lineRule="auto"/>
        <w:ind w:firstLine="42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要健全沟通渠道，完善沟通制度。没有调查就没有发言权。学校管理层如科技处、社会服务处要通过调研，认真聆听主体学院、辅助学院和相关业务处室师生不同意见和建议。产教融合沟通渠道可以分级、分层次、部门内进行，完善定期交流制度，增加交流频率，给予充分的自主权进行非定期会议和讨论，提高各方面主观能动性。部门之间要制定定期和非定期的沟通计划，就特定的项目和内容进行目的性讨论沟通，还可以通过建立信箱、短信平台、员工论坛、服务网络等新的沟通渠道，结合传统的面谈、电话、信件等，从而提高沟通效果。</w:t>
      </w:r>
    </w:p>
    <w:p w14:paraId="4E174590">
      <w:pPr>
        <w:spacing w:line="360" w:lineRule="auto"/>
        <w:ind w:firstLine="480" w:firstLineChars="20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要建立网格化的产教融合共享和信息交流平台，可以加强产教融合各元素或单元之间的感情，有助于矛盾的化解，正是培育产教融合信任关系，实现知识高效流动和协同目标的重要途径。网格化共享平台的总体思路是根据不同产教融合平台及其学科的特点，将创新资源划分成若干个网格，利用现代信息技术和各网格单元间的协调机制，使各个网格单元之间能高效地进行信息交流和共享产教融合组织的资源。网格化的信息交流与开放共享平台应勇于打破“学科墙”“学院墙”“部门墙”“学校墙”的空间、地理和心理屏障，保持信息的互知性、对称性和共享资源的开放性，明确权责关系、知识产权、利益分配。</w:t>
      </w:r>
    </w:p>
    <w:p w14:paraId="23478B79">
      <w:pPr>
        <w:spacing w:line="360" w:lineRule="auto"/>
        <w:outlineLvl w:val="2"/>
        <w:rPr>
          <w:rFonts w:hint="eastAsia" w:ascii="宋体" w:hAnsi="宋体" w:eastAsia="宋体" w:cs="宋体"/>
          <w:b/>
          <w:bCs w:val="0"/>
          <w:kern w:val="2"/>
          <w:sz w:val="24"/>
          <w:szCs w:val="24"/>
          <w:lang w:val="zh-CN" w:eastAsia="zh-CN" w:bidi="ar-SA"/>
        </w:rPr>
      </w:pPr>
      <w:bookmarkStart w:id="48" w:name="_Toc494436321"/>
      <w:bookmarkStart w:id="49" w:name="_Toc6925"/>
      <w:bookmarkStart w:id="50" w:name="_Toc496119781"/>
      <w:bookmarkStart w:id="51" w:name="_Toc16674"/>
      <w:r>
        <w:rPr>
          <w:rFonts w:hint="eastAsia" w:ascii="宋体" w:hAnsi="宋体" w:eastAsia="宋体" w:cs="宋体"/>
          <w:b/>
          <w:bCs w:val="0"/>
          <w:kern w:val="2"/>
          <w:sz w:val="24"/>
          <w:szCs w:val="24"/>
          <w:lang w:val="en-US" w:eastAsia="zh-CN" w:bidi="ar-SA"/>
        </w:rPr>
        <w:t>4.2</w:t>
      </w:r>
      <w:r>
        <w:rPr>
          <w:rFonts w:hint="eastAsia" w:ascii="宋体" w:hAnsi="宋体" w:eastAsia="宋体" w:cs="宋体"/>
          <w:b/>
          <w:bCs w:val="0"/>
          <w:kern w:val="2"/>
          <w:sz w:val="24"/>
          <w:szCs w:val="24"/>
          <w:lang w:val="zh-CN" w:eastAsia="zh-CN" w:bidi="ar-SA"/>
        </w:rPr>
        <w:t xml:space="preserve">.2 </w:t>
      </w:r>
      <w:bookmarkEnd w:id="48"/>
      <w:bookmarkEnd w:id="49"/>
      <w:r>
        <w:rPr>
          <w:rFonts w:hint="eastAsia" w:ascii="宋体" w:hAnsi="宋体" w:eastAsia="宋体" w:cs="宋体"/>
          <w:b/>
          <w:bCs w:val="0"/>
          <w:kern w:val="2"/>
          <w:sz w:val="24"/>
          <w:szCs w:val="24"/>
          <w:lang w:val="zh-CN" w:eastAsia="zh-CN" w:bidi="ar-SA"/>
        </w:rPr>
        <w:t>信息反馈</w:t>
      </w:r>
      <w:bookmarkEnd w:id="50"/>
      <w:bookmarkEnd w:id="51"/>
    </w:p>
    <w:p w14:paraId="4BAA11C9">
      <w:pPr>
        <w:spacing w:line="360" w:lineRule="auto"/>
        <w:ind w:firstLine="480" w:firstLineChars="20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管理是否有效，其关键在于管理信息系统是否完善，信息反馈是否灵敏、准确、有力。信息反馈机制包括信息的获取机制、信息的验证机制、信息的呈报机制和信息的再反馈。不仅是对产教融合组织运行结果的监督反馈，更是对整个运行过程的监督，能够及时发现产教融合组织中存在的问题，消除发展中的障碍，指引组织朝着正确的方向发展。</w:t>
      </w:r>
    </w:p>
    <w:p w14:paraId="43AA19F1">
      <w:pPr>
        <w:spacing w:line="360" w:lineRule="auto"/>
        <w:ind w:firstLine="480" w:firstLineChars="20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在产教融合框架下，有必要在各参与主体中选出若干人员成立监督反馈小组（必须确保每个主体人员在内），在集体讨论的基础上，确立监督反馈小组的权利和义务，其他产教融合主体不得干涉其行使监督反馈的权利。监督反馈小组的职责是制定组织运行的规则，确保各主体及其成员遵守纪律；监督产教融合主体及其成员的行为，保证其行为符合产教融合组织的整体利益；监督产教融合组织的发展，及时发现问题、反馈问题、解决问题等等。</w:t>
      </w:r>
    </w:p>
    <w:p w14:paraId="74A9E3C4">
      <w:pPr>
        <w:pStyle w:val="6"/>
        <w:spacing w:line="360" w:lineRule="auto"/>
        <w:outlineLvl w:val="1"/>
        <w:rPr>
          <w:rFonts w:hint="eastAsia" w:hAnsi="宋体" w:eastAsia="宋体" w:cs="宋体"/>
          <w:b/>
          <w:bCs w:val="0"/>
          <w:sz w:val="24"/>
          <w:szCs w:val="24"/>
          <w:lang w:val="zh-CN" w:eastAsia="zh-CN"/>
        </w:rPr>
      </w:pPr>
      <w:bookmarkStart w:id="52" w:name="_Toc20524"/>
      <w:bookmarkStart w:id="53" w:name="_Toc496119782"/>
      <w:bookmarkStart w:id="54" w:name="_Toc9834"/>
      <w:bookmarkStart w:id="55" w:name="_Toc494436331"/>
      <w:r>
        <w:rPr>
          <w:rFonts w:hint="eastAsia" w:hAnsi="宋体" w:eastAsia="宋体" w:cs="宋体"/>
          <w:b/>
          <w:bCs w:val="0"/>
          <w:sz w:val="24"/>
          <w:szCs w:val="24"/>
          <w:lang w:val="en-US" w:eastAsia="zh-CN"/>
        </w:rPr>
        <w:t>4.3</w:t>
      </w:r>
      <w:r>
        <w:rPr>
          <w:rFonts w:hint="eastAsia" w:hAnsi="宋体" w:eastAsia="宋体" w:cs="宋体"/>
          <w:b/>
          <w:bCs w:val="0"/>
          <w:sz w:val="24"/>
          <w:szCs w:val="24"/>
          <w:lang w:val="zh-CN" w:eastAsia="zh-CN"/>
        </w:rPr>
        <w:t xml:space="preserve"> </w:t>
      </w:r>
      <w:r>
        <w:rPr>
          <w:rFonts w:hint="eastAsia" w:hAnsi="宋体" w:eastAsia="宋体" w:cs="宋体"/>
          <w:b/>
          <w:bCs w:val="0"/>
          <w:sz w:val="24"/>
          <w:szCs w:val="24"/>
          <w:lang w:val="en-US" w:eastAsia="zh-CN"/>
        </w:rPr>
        <w:t>产教融合</w:t>
      </w:r>
      <w:r>
        <w:rPr>
          <w:rFonts w:hint="eastAsia" w:hAnsi="宋体" w:eastAsia="宋体" w:cs="宋体"/>
          <w:b/>
          <w:bCs w:val="0"/>
          <w:sz w:val="24"/>
          <w:szCs w:val="24"/>
          <w:lang w:val="zh-CN" w:eastAsia="zh-CN"/>
        </w:rPr>
        <w:t>评价机制</w:t>
      </w:r>
      <w:bookmarkEnd w:id="52"/>
      <w:bookmarkEnd w:id="53"/>
      <w:bookmarkEnd w:id="54"/>
      <w:bookmarkEnd w:id="55"/>
    </w:p>
    <w:p w14:paraId="3E7FAFAB">
      <w:pPr>
        <w:spacing w:line="360" w:lineRule="auto"/>
        <w:ind w:firstLine="480" w:firstLineChars="20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评价机制是检验产教融合成效的体系，主要解决“产教融合程度和效果如何”的问题。其既是对产教融合进程的检查与督促，同时也是对产教融合成果的评判。</w:t>
      </w:r>
      <w:bookmarkStart w:id="56" w:name="_Toc421542601"/>
      <w:bookmarkEnd w:id="56"/>
    </w:p>
    <w:p w14:paraId="1B2CE973">
      <w:pPr>
        <w:spacing w:line="360" w:lineRule="auto"/>
        <w:outlineLvl w:val="2"/>
        <w:rPr>
          <w:rFonts w:hint="eastAsia" w:ascii="宋体" w:hAnsi="宋体" w:eastAsia="宋体" w:cs="宋体"/>
          <w:b/>
          <w:bCs w:val="0"/>
          <w:kern w:val="2"/>
          <w:sz w:val="24"/>
          <w:szCs w:val="24"/>
          <w:lang w:val="zh-CN" w:eastAsia="zh-CN" w:bidi="ar-SA"/>
        </w:rPr>
      </w:pPr>
      <w:bookmarkStart w:id="57" w:name="_Toc18380"/>
      <w:bookmarkEnd w:id="57"/>
      <w:bookmarkStart w:id="58" w:name="_Toc496119783"/>
      <w:bookmarkStart w:id="59" w:name="_Toc494436332"/>
      <w:bookmarkStart w:id="60" w:name="_Toc14988"/>
      <w:bookmarkStart w:id="61" w:name="_Toc31249"/>
      <w:r>
        <w:rPr>
          <w:rFonts w:hint="eastAsia" w:ascii="宋体" w:hAnsi="宋体" w:eastAsia="宋体" w:cs="宋体"/>
          <w:b/>
          <w:bCs w:val="0"/>
          <w:kern w:val="2"/>
          <w:sz w:val="24"/>
          <w:szCs w:val="24"/>
          <w:lang w:val="en-US" w:eastAsia="zh-CN" w:bidi="ar-SA"/>
        </w:rPr>
        <w:t>4.3</w:t>
      </w:r>
      <w:r>
        <w:rPr>
          <w:rFonts w:hint="eastAsia" w:ascii="宋体" w:hAnsi="宋体" w:eastAsia="宋体" w:cs="宋体"/>
          <w:b/>
          <w:bCs w:val="0"/>
          <w:kern w:val="2"/>
          <w:sz w:val="24"/>
          <w:szCs w:val="24"/>
          <w:lang w:val="zh-CN" w:eastAsia="zh-CN" w:bidi="ar-SA"/>
        </w:rPr>
        <w:t xml:space="preserve">.1 </w:t>
      </w:r>
      <w:bookmarkEnd w:id="58"/>
      <w:bookmarkEnd w:id="59"/>
      <w:bookmarkEnd w:id="60"/>
      <w:bookmarkStart w:id="62" w:name="_Toc494436333"/>
      <w:bookmarkStart w:id="63" w:name="_Toc496119784"/>
      <w:bookmarkStart w:id="64" w:name="_Toc7522"/>
      <w:r>
        <w:rPr>
          <w:rFonts w:hint="eastAsia" w:ascii="宋体" w:hAnsi="宋体" w:eastAsia="宋体" w:cs="宋体"/>
          <w:b/>
          <w:bCs w:val="0"/>
          <w:kern w:val="2"/>
          <w:sz w:val="24"/>
          <w:szCs w:val="24"/>
          <w:lang w:val="zh-CN" w:eastAsia="zh-CN" w:bidi="ar-SA"/>
        </w:rPr>
        <w:t>评价方式</w:t>
      </w:r>
      <w:bookmarkEnd w:id="61"/>
      <w:bookmarkEnd w:id="62"/>
      <w:bookmarkEnd w:id="63"/>
      <w:bookmarkEnd w:id="64"/>
    </w:p>
    <w:p w14:paraId="5D055547">
      <w:pPr>
        <w:spacing w:line="360" w:lineRule="auto"/>
        <w:ind w:firstLine="480" w:firstLineChars="20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产教融合绩效评价机制应是一套能充分反映创新绩效，反映各产教融合参与主体间关系的评价体系。其评价内容不仅只包括各参与主体的创新研究、成果产业化等结果的评价，还应包括对各主体间的组织关系、主体参与度等创新过程的评价。产教融合系统的阶段性、多样性和层次性，决定了创新评价体系的层次性，只有从多个角度和层面确定评价内容，才能全面反映产教融合的绩效。</w:t>
      </w:r>
      <w:bookmarkStart w:id="65" w:name="_Toc421542602"/>
      <w:bookmarkEnd w:id="65"/>
    </w:p>
    <w:p w14:paraId="177D7EC3">
      <w:pPr>
        <w:spacing w:line="360" w:lineRule="auto"/>
        <w:ind w:firstLine="480" w:firstLineChars="20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分层分类评价，以团队评价为主。根据产教融合活动的特点，首先由主要利益相关者对整体成效进行综合评价，然后按照决策机构、执行机构、平台、团队、个体的顺序逐级开展评价。鉴于团队是产教融合的基层组织，是各种任务和活动的具体承担者和组织者，应以团队评价为主要形式。同时，还应根据学科背景、职称、职务、学历等差异对团队成员分类实施评价。</w:t>
      </w:r>
    </w:p>
    <w:p w14:paraId="793E0E9D">
      <w:pPr>
        <w:spacing w:line="360" w:lineRule="auto"/>
        <w:ind w:firstLine="480" w:firstLineChars="20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定量评价与定性评价结合。定量评价主要是通过文献成果计量、投入产出效益分析等方法对评价客体进行量化判断。优点在于评价指标具体，评价结果相对客观，操作简便。但也存在以物为本，只见树木不见森林等不足。定性评价主要是采用同行评议、过程考察等方式对评价客体进行水平或价值判断。它既有综合性、全面性的优点，也有易受人为主观因素影响的缺点。</w:t>
      </w:r>
    </w:p>
    <w:p w14:paraId="7E875B41">
      <w:pPr>
        <w:spacing w:line="360" w:lineRule="auto"/>
        <w:ind w:firstLine="480" w:firstLineChars="20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周期性评价与阶段性评价相结合。周期性评价是按照固定的时间周期对所有评价客体统一开展评价。阶段性评价则强调根据主要任务的完成情况确定评价时间。周期性评价便于考察一定时间内产教融合中心各方面工作的进展与成效，却易于导致追求短平快、急功近利的现象。阶段性评价有利于相关人员完成重大任务、解决重大需求，但也容易出现效率不高的问题。</w:t>
      </w:r>
    </w:p>
    <w:p w14:paraId="574AAD40">
      <w:pPr>
        <w:spacing w:line="360" w:lineRule="auto"/>
        <w:outlineLvl w:val="2"/>
        <w:rPr>
          <w:rFonts w:hint="eastAsia" w:ascii="宋体" w:hAnsi="宋体" w:eastAsia="宋体" w:cs="宋体"/>
          <w:b/>
          <w:bCs w:val="0"/>
          <w:kern w:val="2"/>
          <w:sz w:val="24"/>
          <w:szCs w:val="24"/>
          <w:lang w:val="zh-CN" w:eastAsia="zh-CN" w:bidi="ar-SA"/>
        </w:rPr>
      </w:pPr>
      <w:bookmarkStart w:id="66" w:name="_Toc32442"/>
      <w:bookmarkEnd w:id="66"/>
      <w:bookmarkStart w:id="67" w:name="_Toc9182"/>
      <w:bookmarkStart w:id="68" w:name="_Toc496119785"/>
      <w:bookmarkStart w:id="69" w:name="_Toc494436334"/>
      <w:bookmarkStart w:id="70" w:name="_Toc18570"/>
      <w:r>
        <w:rPr>
          <w:rFonts w:hint="eastAsia" w:ascii="宋体" w:hAnsi="宋体" w:eastAsia="宋体" w:cs="宋体"/>
          <w:b/>
          <w:bCs w:val="0"/>
          <w:kern w:val="2"/>
          <w:sz w:val="24"/>
          <w:szCs w:val="24"/>
          <w:lang w:val="en-US" w:eastAsia="zh-CN" w:bidi="ar-SA"/>
        </w:rPr>
        <w:t>4</w:t>
      </w:r>
      <w:r>
        <w:rPr>
          <w:rFonts w:hint="eastAsia" w:ascii="宋体" w:hAnsi="宋体" w:eastAsia="宋体" w:cs="宋体"/>
          <w:b/>
          <w:bCs w:val="0"/>
          <w:kern w:val="2"/>
          <w:sz w:val="24"/>
          <w:szCs w:val="24"/>
          <w:lang w:val="zh-CN" w:eastAsia="zh-CN" w:bidi="ar-SA"/>
        </w:rPr>
        <w:t>.</w:t>
      </w:r>
      <w:r>
        <w:rPr>
          <w:rFonts w:hint="eastAsia" w:ascii="宋体" w:hAnsi="宋体" w:eastAsia="宋体" w:cs="宋体"/>
          <w:b/>
          <w:bCs w:val="0"/>
          <w:kern w:val="2"/>
          <w:sz w:val="24"/>
          <w:szCs w:val="24"/>
          <w:lang w:val="en-US" w:eastAsia="zh-CN" w:bidi="ar-SA"/>
        </w:rPr>
        <w:t>3</w:t>
      </w:r>
      <w:r>
        <w:rPr>
          <w:rFonts w:hint="eastAsia" w:ascii="宋体" w:hAnsi="宋体" w:eastAsia="宋体" w:cs="宋体"/>
          <w:b/>
          <w:bCs w:val="0"/>
          <w:kern w:val="2"/>
          <w:sz w:val="24"/>
          <w:szCs w:val="24"/>
          <w:lang w:val="zh-CN" w:eastAsia="zh-CN" w:bidi="ar-SA"/>
        </w:rPr>
        <w:t>.</w:t>
      </w:r>
      <w:r>
        <w:rPr>
          <w:rFonts w:hint="eastAsia" w:ascii="宋体" w:hAnsi="宋体" w:eastAsia="宋体" w:cs="宋体"/>
          <w:b/>
          <w:bCs w:val="0"/>
          <w:kern w:val="2"/>
          <w:sz w:val="24"/>
          <w:szCs w:val="24"/>
          <w:lang w:val="en-US" w:eastAsia="zh-CN" w:bidi="ar-SA"/>
        </w:rPr>
        <w:t>2</w:t>
      </w:r>
      <w:r>
        <w:rPr>
          <w:rFonts w:hint="eastAsia" w:ascii="宋体" w:hAnsi="宋体" w:eastAsia="宋体" w:cs="宋体"/>
          <w:b/>
          <w:bCs w:val="0"/>
          <w:kern w:val="2"/>
          <w:sz w:val="24"/>
          <w:szCs w:val="24"/>
          <w:lang w:val="zh-CN" w:eastAsia="zh-CN" w:bidi="ar-SA"/>
        </w:rPr>
        <w:t xml:space="preserve"> 评价指标</w:t>
      </w:r>
      <w:bookmarkEnd w:id="67"/>
      <w:bookmarkEnd w:id="68"/>
      <w:bookmarkEnd w:id="69"/>
      <w:bookmarkEnd w:id="70"/>
    </w:p>
    <w:p w14:paraId="3DE76D43">
      <w:pPr>
        <w:spacing w:line="360" w:lineRule="auto"/>
        <w:ind w:firstLine="480" w:firstLineChars="20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产教融合活动的绩效评价可分为软性指标和硬性指标两个部分。软性指标主要包括文化氛围、资源共享平台、资源使用度、跨组织项目组内部交流频度、对产教融合参与者的激励、产教融合战略方案等方面。硬性指标主要包括新产品推出速度、新产品产值、标准专利生产数、三大奖数量以及优秀人才培养数等方面。</w:t>
      </w:r>
    </w:p>
    <w:p w14:paraId="51568B6D">
      <w:pPr>
        <w:spacing w:line="360" w:lineRule="auto"/>
        <w:ind w:firstLine="480" w:firstLineChars="20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要形成科学合理的评价制度，不仅要注重评价的针对性，对不同学科、不同协同参与者、实行不同的评价标准，还要提高评价的科学性，规范性，也就是对成果的市场认可度、行业前景等进行综合评定。对基础研究成果的评价，更加注重研究成果质量及对国家、社会的影响力；对应用研究和技术开发成果的评价，更加注重业内和市场的认可；对社会科学成果的评价，更加注重社会评价和社会效益。</w:t>
      </w:r>
    </w:p>
    <w:p w14:paraId="172561C7">
      <w:pPr>
        <w:spacing w:line="360" w:lineRule="auto"/>
        <w:outlineLvl w:val="2"/>
        <w:rPr>
          <w:rFonts w:hint="eastAsia" w:ascii="宋体" w:hAnsi="宋体" w:eastAsia="宋体" w:cs="宋体"/>
          <w:b/>
          <w:bCs w:val="0"/>
          <w:kern w:val="2"/>
          <w:sz w:val="24"/>
          <w:szCs w:val="24"/>
          <w:lang w:val="zh-CN" w:eastAsia="zh-CN" w:bidi="ar-SA"/>
        </w:rPr>
      </w:pPr>
      <w:bookmarkStart w:id="71" w:name="_Toc496119786"/>
      <w:bookmarkStart w:id="72" w:name="_Toc17684"/>
      <w:r>
        <w:rPr>
          <w:rFonts w:hint="eastAsia" w:ascii="宋体" w:hAnsi="宋体" w:eastAsia="宋体" w:cs="宋体"/>
          <w:b/>
          <w:bCs w:val="0"/>
          <w:kern w:val="2"/>
          <w:sz w:val="24"/>
          <w:szCs w:val="24"/>
          <w:lang w:val="en-US" w:eastAsia="zh-CN" w:bidi="ar-SA"/>
        </w:rPr>
        <w:t>4</w:t>
      </w:r>
      <w:r>
        <w:rPr>
          <w:rFonts w:hint="eastAsia" w:ascii="宋体" w:hAnsi="宋体" w:eastAsia="宋体" w:cs="宋体"/>
          <w:b/>
          <w:bCs w:val="0"/>
          <w:kern w:val="2"/>
          <w:sz w:val="24"/>
          <w:szCs w:val="24"/>
          <w:lang w:val="zh-CN" w:eastAsia="zh-CN" w:bidi="ar-SA"/>
        </w:rPr>
        <w:t>.</w:t>
      </w:r>
      <w:r>
        <w:rPr>
          <w:rFonts w:hint="eastAsia" w:ascii="宋体" w:hAnsi="宋体" w:eastAsia="宋体" w:cs="宋体"/>
          <w:b/>
          <w:bCs w:val="0"/>
          <w:kern w:val="2"/>
          <w:sz w:val="24"/>
          <w:szCs w:val="24"/>
          <w:lang w:val="en-US" w:eastAsia="zh-CN" w:bidi="ar-SA"/>
        </w:rPr>
        <w:t>3</w:t>
      </w:r>
      <w:r>
        <w:rPr>
          <w:rFonts w:hint="eastAsia" w:ascii="宋体" w:hAnsi="宋体" w:eastAsia="宋体" w:cs="宋体"/>
          <w:b/>
          <w:bCs w:val="0"/>
          <w:kern w:val="2"/>
          <w:sz w:val="24"/>
          <w:szCs w:val="24"/>
          <w:lang w:val="zh-CN" w:eastAsia="zh-CN" w:bidi="ar-SA"/>
        </w:rPr>
        <w:t>.</w:t>
      </w:r>
      <w:r>
        <w:rPr>
          <w:rFonts w:hint="eastAsia" w:ascii="宋体" w:hAnsi="宋体" w:eastAsia="宋体" w:cs="宋体"/>
          <w:b/>
          <w:bCs w:val="0"/>
          <w:kern w:val="2"/>
          <w:sz w:val="24"/>
          <w:szCs w:val="24"/>
          <w:lang w:val="en-US" w:eastAsia="zh-CN" w:bidi="ar-SA"/>
        </w:rPr>
        <w:t>3</w:t>
      </w:r>
      <w:r>
        <w:rPr>
          <w:rFonts w:hint="eastAsia" w:ascii="宋体" w:hAnsi="宋体" w:eastAsia="宋体" w:cs="宋体"/>
          <w:b/>
          <w:bCs w:val="0"/>
          <w:kern w:val="2"/>
          <w:sz w:val="24"/>
          <w:szCs w:val="24"/>
          <w:lang w:val="zh-CN" w:eastAsia="zh-CN" w:bidi="ar-SA"/>
        </w:rPr>
        <w:t xml:space="preserve"> 评价</w:t>
      </w:r>
      <w:r>
        <w:rPr>
          <w:rFonts w:hint="eastAsia" w:ascii="宋体" w:hAnsi="宋体" w:eastAsia="宋体" w:cs="宋体"/>
          <w:b/>
          <w:bCs w:val="0"/>
          <w:kern w:val="2"/>
          <w:sz w:val="24"/>
          <w:szCs w:val="24"/>
          <w:lang w:val="en-US" w:eastAsia="zh-CN" w:bidi="ar-SA"/>
        </w:rPr>
        <w:t>结果</w:t>
      </w:r>
      <w:r>
        <w:rPr>
          <w:rFonts w:hint="eastAsia" w:ascii="宋体" w:hAnsi="宋体" w:eastAsia="宋体" w:cs="宋体"/>
          <w:b/>
          <w:bCs w:val="0"/>
          <w:kern w:val="2"/>
          <w:sz w:val="24"/>
          <w:szCs w:val="24"/>
          <w:lang w:val="zh-CN" w:eastAsia="zh-CN" w:bidi="ar-SA"/>
        </w:rPr>
        <w:t>运用</w:t>
      </w:r>
      <w:bookmarkEnd w:id="71"/>
      <w:bookmarkEnd w:id="72"/>
    </w:p>
    <w:p w14:paraId="0B20A011">
      <w:pPr>
        <w:spacing w:line="360" w:lineRule="auto"/>
        <w:ind w:firstLine="48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评价结果要通过适当的渠道和方式得到有效运用。首先是高校产教融合（社会服务）政策的调整,不当的政策要完善，没有的政策要出台；其次是各个参与单位要根据评价结果进行适当调整，该退出的要退出，该引进的引进；再次是各个成员的调整，对没有完成任务的要进行必要的处理，对贡献大的成员要重奖（包括物质和精神层面的）。</w:t>
      </w:r>
    </w:p>
    <w:p w14:paraId="2DAD7891">
      <w:pPr>
        <w:pStyle w:val="6"/>
        <w:spacing w:line="360" w:lineRule="auto"/>
        <w:outlineLvl w:val="1"/>
        <w:rPr>
          <w:rFonts w:hint="eastAsia" w:hAnsi="宋体" w:eastAsia="宋体" w:cs="宋体"/>
          <w:b/>
          <w:bCs w:val="0"/>
          <w:sz w:val="24"/>
          <w:szCs w:val="24"/>
          <w:lang w:val="zh-CN" w:eastAsia="zh-CN"/>
        </w:rPr>
      </w:pPr>
      <w:bookmarkStart w:id="73" w:name="_Toc5819"/>
      <w:bookmarkEnd w:id="73"/>
      <w:bookmarkStart w:id="74" w:name="_Toc17025"/>
      <w:bookmarkEnd w:id="74"/>
      <w:bookmarkStart w:id="75" w:name="_Toc496119787"/>
      <w:bookmarkStart w:id="76" w:name="_Toc29251"/>
      <w:bookmarkStart w:id="77" w:name="_Toc494436322"/>
      <w:bookmarkStart w:id="78" w:name="_Toc23250"/>
      <w:r>
        <w:rPr>
          <w:rFonts w:hint="eastAsia" w:hAnsi="宋体" w:eastAsia="宋体" w:cs="宋体"/>
          <w:b/>
          <w:bCs w:val="0"/>
          <w:sz w:val="24"/>
          <w:szCs w:val="24"/>
          <w:lang w:val="en-US" w:eastAsia="zh-CN"/>
        </w:rPr>
        <w:t>4.4</w:t>
      </w:r>
      <w:r>
        <w:rPr>
          <w:rFonts w:hint="eastAsia" w:hAnsi="宋体" w:eastAsia="宋体" w:cs="宋体"/>
          <w:b/>
          <w:bCs w:val="0"/>
          <w:sz w:val="24"/>
          <w:szCs w:val="24"/>
          <w:lang w:val="zh-CN" w:eastAsia="zh-CN"/>
        </w:rPr>
        <w:t xml:space="preserve"> </w:t>
      </w:r>
      <w:r>
        <w:rPr>
          <w:rFonts w:hint="eastAsia" w:hAnsi="宋体" w:eastAsia="宋体" w:cs="宋体"/>
          <w:b/>
          <w:bCs w:val="0"/>
          <w:sz w:val="24"/>
          <w:szCs w:val="24"/>
          <w:lang w:val="en-US" w:eastAsia="zh-CN"/>
        </w:rPr>
        <w:t>产教融合</w:t>
      </w:r>
      <w:r>
        <w:rPr>
          <w:rFonts w:hint="eastAsia" w:hAnsi="宋体" w:eastAsia="宋体" w:cs="宋体"/>
          <w:b/>
          <w:bCs w:val="0"/>
          <w:sz w:val="24"/>
          <w:szCs w:val="24"/>
          <w:lang w:val="zh-CN" w:eastAsia="zh-CN"/>
        </w:rPr>
        <w:t>激励机制</w:t>
      </w:r>
      <w:bookmarkEnd w:id="75"/>
      <w:bookmarkEnd w:id="76"/>
      <w:bookmarkEnd w:id="77"/>
      <w:bookmarkEnd w:id="78"/>
    </w:p>
    <w:p w14:paraId="7271EB7E">
      <w:pPr>
        <w:spacing w:line="360" w:lineRule="auto"/>
        <w:ind w:firstLine="480" w:firstLineChars="20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产教融合是复杂的系统工程，有必要引入激励机制，利用激励措施，积极引导高等院校、行业企业和参与单位合理配置创新资源，调动各方面的积极性、主动性和创造性。</w:t>
      </w:r>
      <w:bookmarkStart w:id="79" w:name="_Toc421542592"/>
      <w:bookmarkEnd w:id="79"/>
    </w:p>
    <w:p w14:paraId="544B6A25">
      <w:pPr>
        <w:spacing w:line="360" w:lineRule="auto"/>
        <w:ind w:firstLine="480" w:firstLineChars="200"/>
        <w:rPr>
          <w:rFonts w:hint="eastAsia" w:ascii="宋体" w:hAnsi="宋体" w:eastAsia="宋体" w:cs="宋体"/>
          <w:bCs/>
          <w:kern w:val="2"/>
          <w:sz w:val="24"/>
          <w:szCs w:val="24"/>
          <w:lang w:val="en-US" w:eastAsia="zh-CN" w:bidi="ar-SA"/>
        </w:rPr>
      </w:pPr>
    </w:p>
    <w:p w14:paraId="240081E3">
      <w:pPr>
        <w:spacing w:line="360" w:lineRule="auto"/>
        <w:outlineLvl w:val="2"/>
        <w:rPr>
          <w:rFonts w:hint="eastAsia" w:ascii="宋体" w:hAnsi="宋体" w:eastAsia="宋体" w:cs="宋体"/>
          <w:b/>
          <w:bCs w:val="0"/>
          <w:kern w:val="2"/>
          <w:sz w:val="24"/>
          <w:szCs w:val="24"/>
          <w:lang w:val="zh-CN" w:eastAsia="zh-CN" w:bidi="ar-SA"/>
        </w:rPr>
      </w:pPr>
      <w:bookmarkStart w:id="80" w:name="_Toc12939"/>
      <w:bookmarkEnd w:id="80"/>
      <w:bookmarkStart w:id="81" w:name="_Toc494436323"/>
      <w:bookmarkStart w:id="82" w:name="_Toc496119788"/>
      <w:bookmarkStart w:id="83" w:name="_Toc9188"/>
      <w:bookmarkStart w:id="84" w:name="_Toc12868"/>
      <w:r>
        <w:rPr>
          <w:rFonts w:hint="eastAsia" w:ascii="宋体" w:hAnsi="宋体" w:eastAsia="宋体" w:cs="宋体"/>
          <w:b/>
          <w:bCs w:val="0"/>
          <w:kern w:val="2"/>
          <w:sz w:val="24"/>
          <w:szCs w:val="24"/>
          <w:lang w:val="en-US" w:eastAsia="zh-CN" w:bidi="ar-SA"/>
        </w:rPr>
        <w:t>4.4</w:t>
      </w:r>
      <w:r>
        <w:rPr>
          <w:rFonts w:hint="eastAsia" w:ascii="宋体" w:hAnsi="宋体" w:eastAsia="宋体" w:cs="宋体"/>
          <w:b/>
          <w:bCs w:val="0"/>
          <w:kern w:val="2"/>
          <w:sz w:val="24"/>
          <w:szCs w:val="24"/>
          <w:lang w:val="zh-CN" w:eastAsia="zh-CN" w:bidi="ar-SA"/>
        </w:rPr>
        <w:t>.1 报酬激励</w:t>
      </w:r>
      <w:bookmarkEnd w:id="81"/>
      <w:bookmarkEnd w:id="82"/>
      <w:bookmarkEnd w:id="83"/>
      <w:bookmarkEnd w:id="84"/>
    </w:p>
    <w:p w14:paraId="2BB57D7E">
      <w:pPr>
        <w:spacing w:line="360" w:lineRule="auto"/>
        <w:ind w:firstLine="480" w:firstLineChars="20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报酬激励是指根据创新活动的</w:t>
      </w:r>
      <w:r>
        <w:rPr>
          <w:rFonts w:hint="eastAsia" w:ascii="宋体" w:hAnsi="宋体" w:eastAsia="宋体" w:cs="宋体"/>
          <w:bCs/>
          <w:kern w:val="2"/>
          <w:sz w:val="24"/>
          <w:szCs w:val="24"/>
          <w:lang w:val="en-US" w:eastAsia="zh-CN" w:bidi="ar-SA"/>
        </w:rPr>
        <w:fldChar w:fldCharType="begin"/>
      </w:r>
      <w:r>
        <w:rPr>
          <w:rFonts w:hint="eastAsia" w:ascii="宋体" w:hAnsi="宋体" w:eastAsia="宋体" w:cs="宋体"/>
          <w:bCs/>
          <w:kern w:val="2"/>
          <w:sz w:val="24"/>
          <w:szCs w:val="24"/>
          <w:lang w:val="en-US" w:eastAsia="zh-CN" w:bidi="ar-SA"/>
        </w:rPr>
        <w:instrText xml:space="preserve"> HYPERLINK "https://baike.baidu.com/item/%E7%BB%A9%E6%95%88%E8%AF%84%E4%BB%B7/4152532" \t "https://baike.baidu.com/item/%E6%BF%80%E5%8A%B1%E8%96%AA%E9%85%AC/_blank" </w:instrText>
      </w:r>
      <w:r>
        <w:rPr>
          <w:rFonts w:hint="eastAsia" w:ascii="宋体" w:hAnsi="宋体" w:eastAsia="宋体" w:cs="宋体"/>
          <w:bCs/>
          <w:kern w:val="2"/>
          <w:sz w:val="24"/>
          <w:szCs w:val="24"/>
          <w:lang w:val="en-US" w:eastAsia="zh-CN" w:bidi="ar-SA"/>
        </w:rPr>
        <w:fldChar w:fldCharType="separate"/>
      </w:r>
      <w:r>
        <w:rPr>
          <w:rFonts w:hint="eastAsia" w:ascii="宋体" w:hAnsi="宋体" w:eastAsia="宋体" w:cs="宋体"/>
          <w:bCs/>
          <w:kern w:val="2"/>
          <w:sz w:val="24"/>
          <w:szCs w:val="24"/>
          <w:lang w:val="en-US" w:eastAsia="zh-CN" w:bidi="ar-SA"/>
        </w:rPr>
        <w:t>绩效评价</w:t>
      </w:r>
      <w:r>
        <w:rPr>
          <w:rFonts w:hint="eastAsia" w:ascii="宋体" w:hAnsi="宋体" w:eastAsia="宋体" w:cs="宋体"/>
          <w:bCs/>
          <w:kern w:val="2"/>
          <w:sz w:val="24"/>
          <w:szCs w:val="24"/>
          <w:lang w:val="en-US" w:eastAsia="zh-CN" w:bidi="ar-SA"/>
        </w:rPr>
        <w:fldChar w:fldCharType="end"/>
      </w:r>
      <w:r>
        <w:rPr>
          <w:rFonts w:hint="eastAsia" w:ascii="宋体" w:hAnsi="宋体" w:eastAsia="宋体" w:cs="宋体"/>
          <w:bCs/>
          <w:kern w:val="2"/>
          <w:sz w:val="24"/>
          <w:szCs w:val="24"/>
          <w:lang w:val="en-US" w:eastAsia="zh-CN" w:bidi="ar-SA"/>
        </w:rPr>
        <w:t>结果给予参与者相应报酬的激励形式，其实质就是利益分配。这里的利益不仅指经济利益，还包括名誉、声望等无法用货币度量的无形利益。因此，要以科学合理的利益分配方式汇聚各方力量，解决“不愿融合”的问题，最大限度的把各参与主体及个体的积极性和主动性调动起来。在分配中要坚持平等公平、多贡献多分配、利益与风险相一致的原则，采取灵活的分配激励方式。一是实行按阶段采用不同形式报酬激励。在产教融合过程的初期阶段，由于各主体及个体间信任度不高，产教融合可能达到的成果未知，参与人员可能会小心翼翼，更关注眼前的实际利益，此阶段适宜以物质和现金形式进行利益分配；而在产教融合的中后期阶段，较适宜采用股份制的分配方式。原因在于各参与成员间信任度增不断加，再加上研究的顺利推行，各成员经过一段时间的付出，这时采用股份制形式，使整个产教融合过程与自己的利益息息相关，每个成员都会很期待研究成果及自己即将从中所得，继而把它当做自己的事业而关注其长远发展。二是实行按类别分配进行激励。对于可转化为产品的学术研究成果，根据成果经济效益对参与人员进行相应比例的物质或金钱分配；对于以论文、著作、获奖等知识产权形式呈现的学术研究成果，在论文发表、申报奖励时依据对课题研究的贡献度进行先后排名，而非按职位或权威度排名，以鼓励研究者积极主动参与。</w:t>
      </w:r>
    </w:p>
    <w:p w14:paraId="6660ADA7">
      <w:pPr>
        <w:spacing w:line="360" w:lineRule="auto"/>
        <w:ind w:firstLine="480" w:firstLineChars="20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产教融合使企业在产教融合中获得先进技术，并使之转化为具有市场竞争力的产品从而获利，高校在产教融合中获得前沿知识、资金支持并汇聚大量人才，这样各取所需，协同合作，达到共赢结果，获得源源不断驱动力。</w:t>
      </w:r>
      <w:bookmarkStart w:id="85" w:name="_Toc421542593"/>
      <w:bookmarkEnd w:id="85"/>
    </w:p>
    <w:p w14:paraId="436672DF">
      <w:pPr>
        <w:spacing w:line="360" w:lineRule="auto"/>
        <w:outlineLvl w:val="2"/>
        <w:rPr>
          <w:rFonts w:hint="eastAsia" w:ascii="宋体" w:hAnsi="宋体" w:eastAsia="宋体" w:cs="宋体"/>
          <w:b/>
          <w:bCs w:val="0"/>
          <w:kern w:val="2"/>
          <w:sz w:val="24"/>
          <w:szCs w:val="24"/>
          <w:lang w:val="zh-CN" w:eastAsia="zh-CN" w:bidi="ar-SA"/>
        </w:rPr>
      </w:pPr>
      <w:bookmarkStart w:id="86" w:name="_Toc30228"/>
      <w:bookmarkEnd w:id="86"/>
      <w:bookmarkStart w:id="87" w:name="_Toc496119790"/>
      <w:bookmarkStart w:id="88" w:name="_Toc19398"/>
      <w:bookmarkStart w:id="89" w:name="_Toc494436325"/>
      <w:r>
        <w:rPr>
          <w:rFonts w:hint="eastAsia" w:ascii="宋体" w:hAnsi="宋体" w:eastAsia="宋体" w:cs="宋体"/>
          <w:b/>
          <w:bCs w:val="0"/>
          <w:kern w:val="2"/>
          <w:sz w:val="24"/>
          <w:szCs w:val="24"/>
          <w:lang w:val="en-US" w:eastAsia="zh-CN" w:bidi="ar-SA"/>
        </w:rPr>
        <w:t>4.4.2</w:t>
      </w:r>
      <w:r>
        <w:rPr>
          <w:rFonts w:hint="eastAsia" w:ascii="宋体" w:hAnsi="宋体" w:eastAsia="宋体" w:cs="宋体"/>
          <w:b/>
          <w:bCs w:val="0"/>
          <w:kern w:val="2"/>
          <w:sz w:val="24"/>
          <w:szCs w:val="24"/>
          <w:lang w:val="zh-CN" w:eastAsia="zh-CN" w:bidi="ar-SA"/>
        </w:rPr>
        <w:t>政策激励</w:t>
      </w:r>
      <w:bookmarkEnd w:id="87"/>
      <w:bookmarkEnd w:id="88"/>
      <w:bookmarkEnd w:id="89"/>
    </w:p>
    <w:p w14:paraId="6A5F8321">
      <w:pPr>
        <w:spacing w:line="360" w:lineRule="auto"/>
        <w:ind w:firstLine="480" w:firstLineChars="200"/>
        <w:rPr>
          <w:rFonts w:hint="eastAsia" w:ascii="黑体" w:hAnsi="黑体" w:eastAsia="黑体" w:cs="黑体"/>
          <w:bCs/>
          <w:sz w:val="36"/>
          <w:szCs w:val="36"/>
        </w:rPr>
      </w:pPr>
      <w:r>
        <w:rPr>
          <w:rFonts w:hint="eastAsia" w:ascii="宋体" w:hAnsi="宋体" w:eastAsia="宋体" w:cs="宋体"/>
          <w:bCs/>
          <w:kern w:val="2"/>
          <w:sz w:val="24"/>
          <w:szCs w:val="24"/>
          <w:lang w:val="en-US" w:eastAsia="zh-CN" w:bidi="ar-SA"/>
        </w:rPr>
        <w:t>一是加大对产教融合的投入和对新兴产业的扶持力度，提高科学研究的实用性，鼓励高校与企业联合申报科技创新项目，进行重大科技成果的攻关，促进企业产业转型和升级。二是实行积极的科技财税政策，对高新技术企业减税，对高新技术产品进行奖励，鼓励企业技术创新，推动高新技术成果转化和利用，支持高校的创业产业园采取相应的优惠政策。三是采取积极的知识产权政策，知识产权可以保护知识创新的积极性，也是对知识发明人成果的一种认可。四是鼓励高校科技成果转化和孵化政策，高校的知识转化为科技生产力，才能真正发挥科技创新的作用，使高校的研究者注重生产实际，解决现实问题。五是制定灵活的人事政策，打破人事管理的条框束缚，在不影响正常教学秩序和学术自由精神的基础上，鼓励大学教师或其他科研人员根据研究需求自由流动与交流，更重要的是要保障科研人员在流动期间的职务晋升、职称评定及相应的福利待遇，以减少研究人员的后顾之忧。</w:t>
      </w:r>
      <w:bookmarkStart w:id="90" w:name="_Toc17292"/>
      <w:bookmarkEnd w:id="90"/>
    </w:p>
    <w:p w14:paraId="607AAC52">
      <w:pPr>
        <w:pStyle w:val="6"/>
        <w:spacing w:line="360" w:lineRule="auto"/>
        <w:outlineLvl w:val="0"/>
        <w:rPr>
          <w:rFonts w:hint="eastAsia" w:ascii="黑体" w:hAnsi="黑体" w:eastAsia="黑体" w:cs="黑体"/>
          <w:bCs/>
          <w:sz w:val="28"/>
          <w:szCs w:val="28"/>
        </w:rPr>
      </w:pPr>
      <w:bookmarkStart w:id="91" w:name="_Toc8737"/>
      <w:r>
        <w:rPr>
          <w:rFonts w:hint="eastAsia" w:ascii="黑体" w:hAnsi="黑体" w:eastAsia="黑体" w:cs="黑体"/>
          <w:bCs/>
          <w:sz w:val="28"/>
          <w:szCs w:val="28"/>
          <w:lang w:val="en-US" w:eastAsia="zh-CN"/>
        </w:rPr>
        <w:t>5.</w:t>
      </w:r>
      <w:r>
        <w:rPr>
          <w:rFonts w:hint="eastAsia" w:ascii="黑体" w:hAnsi="黑体" w:eastAsia="黑体" w:cs="黑体"/>
          <w:bCs/>
          <w:sz w:val="28"/>
          <w:szCs w:val="28"/>
        </w:rPr>
        <w:t>区域特色骨干大学产教</w:t>
      </w:r>
      <w:r>
        <w:rPr>
          <w:rFonts w:hint="eastAsia" w:ascii="黑体" w:hAnsi="黑体" w:eastAsia="黑体" w:cs="黑体"/>
          <w:bCs/>
          <w:sz w:val="28"/>
          <w:szCs w:val="28"/>
          <w:lang w:val="en-US" w:eastAsia="zh-CN"/>
        </w:rPr>
        <w:t>深度</w:t>
      </w:r>
      <w:r>
        <w:rPr>
          <w:rFonts w:hint="eastAsia" w:ascii="黑体" w:hAnsi="黑体" w:eastAsia="黑体" w:cs="黑体"/>
          <w:bCs/>
          <w:sz w:val="28"/>
          <w:szCs w:val="28"/>
        </w:rPr>
        <w:t>融合的</w:t>
      </w:r>
      <w:r>
        <w:rPr>
          <w:rFonts w:hint="eastAsia" w:ascii="黑体" w:hAnsi="黑体" w:eastAsia="黑体" w:cs="黑体"/>
          <w:bCs/>
          <w:sz w:val="28"/>
          <w:szCs w:val="28"/>
          <w:lang w:val="en-US" w:eastAsia="zh-CN"/>
        </w:rPr>
        <w:t>典型</w:t>
      </w:r>
      <w:r>
        <w:rPr>
          <w:rFonts w:hint="eastAsia" w:ascii="黑体" w:hAnsi="黑体" w:eastAsia="黑体" w:cs="黑体"/>
          <w:bCs/>
          <w:sz w:val="28"/>
          <w:szCs w:val="28"/>
        </w:rPr>
        <w:t>案例</w:t>
      </w:r>
      <w:bookmarkEnd w:id="91"/>
    </w:p>
    <w:p w14:paraId="4BC73AAC">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适应国家粮食核心区建设、乡村振兴、黄河流域生态保护和高质量发展等国家战略的重大需求，河南农业大学以习近平新时代中国特色社会主义思想为指导，全面贯彻党的教育方针，以立德树人为根本，以强农兴农为己任，以内涵发展为主线，以改革创新为动力，面向三农主战场，长期坚持“以服务求支持、以贡献求发展”，打破学院、学科界限，整合优势资源，学校以成果转化、技术培训、决策服务等多种形式，开展多层次、多渠道、全方位深度产教融合，催生了一大批明星村镇、农民专业合作社和典型人物，涌现了以“郭小麦”郭天财教授、“当代老愚公”张绍文教授和“伏牛山点金师”高致明教授等为代表的一大批典型，真正把“把论文写在了祖国大地上”，走出了一条产融结合的新路子。学校因此被省委省政府授予“全省经济社会改革发展全局性重大任务攻坚贡献单位”和“河南省技术转移示范机构优秀单位”。</w:t>
      </w:r>
    </w:p>
    <w:p w14:paraId="77E0BBF2">
      <w:pPr>
        <w:pStyle w:val="6"/>
        <w:spacing w:line="360" w:lineRule="auto"/>
        <w:outlineLvl w:val="1"/>
        <w:rPr>
          <w:rFonts w:hint="eastAsia" w:ascii="宋体" w:hAnsi="宋体" w:eastAsia="宋体" w:cs="宋体"/>
          <w:b/>
          <w:bCs w:val="0"/>
          <w:sz w:val="24"/>
          <w:szCs w:val="24"/>
          <w:lang w:val="en-US" w:eastAsia="zh-CN"/>
        </w:rPr>
      </w:pPr>
      <w:bookmarkStart w:id="92" w:name="_Toc26655"/>
      <w:r>
        <w:rPr>
          <w:rFonts w:hint="eastAsia" w:hAnsi="宋体" w:eastAsia="宋体" w:cs="宋体"/>
          <w:b/>
          <w:bCs w:val="0"/>
          <w:sz w:val="24"/>
          <w:szCs w:val="24"/>
          <w:lang w:val="en-US" w:eastAsia="zh-CN"/>
        </w:rPr>
        <w:t>5</w:t>
      </w:r>
      <w:r>
        <w:rPr>
          <w:rFonts w:hint="eastAsia" w:ascii="宋体" w:hAnsi="宋体" w:eastAsia="宋体" w:cs="宋体"/>
          <w:b/>
          <w:bCs w:val="0"/>
          <w:sz w:val="24"/>
          <w:szCs w:val="24"/>
          <w:lang w:val="en-US" w:eastAsia="zh-CN"/>
        </w:rPr>
        <w:t>.1打造产教深度融合示范样板</w:t>
      </w:r>
      <w:bookmarkEnd w:id="92"/>
    </w:p>
    <w:p w14:paraId="38785E17">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在河南省人民政府主导下，以“延伸粮食产业链、提升价值链、打造供应链”为核心，河南农业大学与长葛市人民政府、河南省豫粮集团股份有限公司联合，由郭天财教授、马新明教授等负责，在长葛市规划建设了国家“2011计划”现代农业试验区，聘请国家农业信息化工程技术研究中心对试验区进行总体规划设计，地方政府整合资源对试验区硬件设施和生产条件完善配套，农业产业化龙头企业负责土地流转，集约化经营和粮食收储，研制了小麦全生育期立体化监测与诊断管理技术，研发了小麦生产过程的交互式可视化技术与应用系统，创建了多渠道精准服务的小麦生产信息系统集成平台。形成了“政府主导、中心支撑、企业实施、农户参与”的产教融合新模式，实现了小麦精准管理、科学收储、精细加工全产业链提质增效，为现代农业发展提供了经验，建立了示范样板。并在滑县、温县等5个县（市）复制推广，建设了粮食作物高产高效“一田三区”，同时在全省不同生态类型区构建了“同心圆”的粮食科技创新与成果转化模式，并在35个产粮大县建立了示范推广基地。</w:t>
      </w:r>
    </w:p>
    <w:p w14:paraId="61B72E91">
      <w:pPr>
        <w:pStyle w:val="6"/>
        <w:spacing w:line="360" w:lineRule="auto"/>
        <w:outlineLvl w:val="1"/>
        <w:rPr>
          <w:rFonts w:hint="eastAsia" w:ascii="宋体" w:hAnsi="宋体" w:eastAsia="宋体" w:cs="宋体"/>
          <w:b/>
          <w:bCs w:val="0"/>
          <w:sz w:val="24"/>
          <w:szCs w:val="24"/>
          <w:lang w:val="en-US" w:eastAsia="zh-CN"/>
        </w:rPr>
      </w:pPr>
      <w:bookmarkStart w:id="93" w:name="_Toc26090"/>
      <w:r>
        <w:rPr>
          <w:rFonts w:hint="eastAsia" w:hAnsi="宋体" w:eastAsia="宋体" w:cs="宋体"/>
          <w:b/>
          <w:bCs w:val="0"/>
          <w:sz w:val="24"/>
          <w:szCs w:val="24"/>
          <w:lang w:val="en-US" w:eastAsia="zh-CN"/>
        </w:rPr>
        <w:t>5</w:t>
      </w:r>
      <w:r>
        <w:rPr>
          <w:rFonts w:hint="eastAsia" w:ascii="宋体" w:hAnsi="宋体" w:eastAsia="宋体" w:cs="宋体"/>
          <w:b/>
          <w:bCs w:val="0"/>
          <w:sz w:val="24"/>
          <w:szCs w:val="24"/>
          <w:lang w:val="en-US" w:eastAsia="zh-CN"/>
        </w:rPr>
        <w:t>.2集成推广丰产增效和互补增抗技术，以新品种推动种业升级</w:t>
      </w:r>
      <w:bookmarkEnd w:id="93"/>
    </w:p>
    <w:p w14:paraId="2A4368CF">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针对限制黄淮地区小麦玉米两熟持续丰产增效的关键技术问题，依托国家科技支撑计划“黄淮南部（河南）小麦玉米两熟持续丰产高效技术集成创新与示范”等项目，郭天财教授、尹钧教授等带领团队，集成了两熟光热资源高效利用的技术体系，建立了针对不同土壤类型的水肥一体化丰产增效栽培技术体系，研究形成了适合豫北灌区、豫中补灌区、豫南雨养区小麦-玉米两熟均衡丰产高效技术体系，创建了攻关田、万亩核心区、100万亩示范区和1000万亩技术辐射区，开展了“省、县、乡、村”四级技术培训，通过建立示范样板、召开现场观摩会，组织“三士（博士、硕士、学士）下乡”、博士服务团、选派科技副县长和科技三下乡等社会服务活动，将两熟丰产增效关键技术及模式进行了示范推广，高产高效攻关田连续3年小麦玉米两熟亩产在1550公斤以上，核心区、示范区和辐射区两熟平均亩产分别达到1400公斤以上、1200公斤以上和1000公斤以上。累计增产粮食56.2万吨，增加经济效益10.6亿元，同时化肥和灌溉水利用率分别提高 13.6%和15.5%，农药用量减少16.5%，灾害损失率降低 18.3%，实现了出产量、出效益、出成果、出人才，带动河南粮食主产区均衡增产，为河南省粮食持续丰产增效提供了强有力的技术支撑。</w:t>
      </w:r>
    </w:p>
    <w:p w14:paraId="0CDCA7CB">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河南省地处亚热带向北温带的过度区，随着全球气候变化，夏玉米生长季节干旱、高温、阴雨、涝渍、大风倒伏等自然灾害及病虫害的发生日益频繁，因灾造成河南夏玉米单产年际间波动可超过30%。为了实现玉米减灾稳产，李潮海教授、汤继华教授等带领玉米栽培技术创新团队，经过20余年科技攻关，提出了以“一优两补”为核心的互补增抗技术，即通过利用不同品种杂交授粉产生当代杂种优势，通过品种间的抗性互补、育性互补提高群体抗逆减灾能力。该技术充分挖掘了玉米不同基因型的抗性潜能，显著提升了对逆境灾害的抵御能力，实现了玉米自然灾害的绿色防控和丰产稳产。该技术大面积应用后使玉米群体倒伏率降低80%以上，抗病害能力提高两个等级，抗虫害能力提高60%以上，减少农药使用量50%以上。在高温热害、阴雨寡照、干旱等灾害严重发生年份，玉米灾害损失率降低20%以上。2016年以来，登海先锋、登海道吉、登海宇玉、北京联创等国内外知名种子企业，成功推广了12个品种的互补增抗模式，技术推广面积累计达4000余万亩，取得了显著的社会经济效益。</w:t>
      </w:r>
    </w:p>
    <w:p w14:paraId="5820CFE1">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围绕农作物病虫害监测预警和绿色防控技术，李洪连教授团队筛选出一批具有生防潜力的生防菌株，制定并颁布实施《小麦禾谷孢囊线虫防控技术规范》河南省地方标准，培训基层骨干和种植大户 3000 多人（次），在河南、安徽等地进行了大面积示范推广，建立示范区12 个，辐射带动防治面积 900 多万亩；示范区平均防效达 70.4%-80.1%，增产 17.8%-87.5%，高毒农药使用量减少 30%以上，增收节支 6 亿多元。近日，该团队再次担负起全省小麦条锈病、赤霉病防控工作的光荣任务。</w:t>
      </w:r>
    </w:p>
    <w:p w14:paraId="6A8228DD">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籽粒机械收获一直是我国玉米生产全程机械化的短板，而缺乏适宜籽粒机械收获的品种是短板中的短板。陈彦惠教授团队在河南省重大科技专项支持下，育成了耐密、高产、多抗、宜籽粒机收的玉米新品种“豫单9953”。该品种分别通过国家玉米机收组、国家普通玉米组审定和河南省审定。2018年在农业农村部农技推广服务中心主办的黄淮海玉米小麦籽粒双机收模式试验玉米机收籽粒现场观摩会上，豫单9953水分只有14.96%，可以直接入仓，产量位居12个参赛玉米品种第一位，创造了黄淮海玉米机收籽粒的奇迹。2018-2019年中国种子协会组织“寻找玉米高产品种”活动测产验收， 2018年在中低产田的夏邑现场籽粒直收，平均亩产达772.47公斤；2019年在新乡县现场籽粒直收，亩产达到836.05公斤。“豫单9953”已成为黄淮玉米籽粒宜机收主推品种。</w:t>
      </w:r>
    </w:p>
    <w:p w14:paraId="3C017C36">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水稻是我国第一大口粮作物，弱势籽粒充实度差和稻瘟病发病率高是关键限制因素，严重影响稻米产量和品质，减少稻农收益。赵全志教授带领水稻创新团队历时23年，首创了随机短片段靶基因模拟物（STTM）技术，解析了水稻弱势籽粒灌浆充实度差的生理与分子机制；构建了“六位一体”的黄淮稻区粳稻复合育种技术体系，创制出优质抗病粳稻育种材料63份，选育出优质抗病综合性状优良粳稻新品种3个。选育的方欣一号品种达国标1级优质米标准，高抗稻瘟病，荣获“中国十大金奖大米”第一名。提出了籽粒灌浆充实的源库质量理念，明确了以库容和根源质量为核心的弱势籽粒灌浆调控技术途径，构建了籽粒相对充实度、伤流势、颖花伤流量等调控指标体系。创新了氧氮互作、化学调控提升水稻弱势籽粒灌浆的关键技术，集成了“苗期塑根壮秧、中期壮根促转、后期保叶延衰” “两调一减”水稻优质高效源库质量调控技术体系，实现了良种良法配套。近5年以来，在水稻主产区长江流域和黄淮流域稻区大面积推广应用7000多万亩，新增稻谷产量20多亿公斤，累计新增社会经济效益60多亿元。获植物新品种权5项，授权发明专利17件，发表学术论文150余篇，河南省地方标准7套，主持获河南省科技进步一等奖2项。</w:t>
      </w:r>
    </w:p>
    <w:p w14:paraId="361D7B8E">
      <w:pPr>
        <w:pStyle w:val="6"/>
        <w:spacing w:line="360" w:lineRule="auto"/>
        <w:outlineLvl w:val="1"/>
        <w:rPr>
          <w:rFonts w:hint="eastAsia" w:ascii="宋体" w:hAnsi="宋体" w:eastAsia="宋体" w:cs="宋体"/>
          <w:b/>
          <w:bCs w:val="0"/>
          <w:sz w:val="24"/>
          <w:szCs w:val="24"/>
          <w:lang w:val="en-US" w:eastAsia="zh-CN"/>
        </w:rPr>
      </w:pPr>
      <w:bookmarkStart w:id="94" w:name="_Toc15462"/>
      <w:r>
        <w:rPr>
          <w:rFonts w:hint="eastAsia" w:hAnsi="宋体" w:eastAsia="宋体" w:cs="宋体"/>
          <w:b/>
          <w:bCs w:val="0"/>
          <w:sz w:val="24"/>
          <w:szCs w:val="24"/>
          <w:lang w:val="en-US" w:eastAsia="zh-CN"/>
        </w:rPr>
        <w:t>5</w:t>
      </w:r>
      <w:r>
        <w:rPr>
          <w:rFonts w:hint="eastAsia" w:ascii="宋体" w:hAnsi="宋体" w:eastAsia="宋体" w:cs="宋体"/>
          <w:b/>
          <w:bCs w:val="0"/>
          <w:sz w:val="24"/>
          <w:szCs w:val="24"/>
          <w:lang w:val="en-US" w:eastAsia="zh-CN"/>
        </w:rPr>
        <w:t>.3实现林业的保护性开发与高值化利用，构筑大粮仓屏障</w:t>
      </w:r>
      <w:bookmarkEnd w:id="94"/>
    </w:p>
    <w:p w14:paraId="164CE1C2">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以林学家蒋建平教授为代表的老一辈林学学科团队，自上世纪50年代开始，坚持泡桐科学研究与技术推广，总结出了“以农为主、以桐为主、农桐并重”三种农桐间作结构模式，建设了世界上第一个泡桐属种质资源库，出版了《泡桐栽培学》专著，成功在黄淮海地区打造泡桐农田防护林网，极大地促进了黄河中下游地区农田防护林建设的发展，治住了风沙，保护了生境，改良了土壤，为粮食生产中确保高产、高效、高品质、高安全、高环保做出了巨大贡献。以范国强教授为代表的新一代林学学科团队，接过老一辈的接力棒，带领团队继续攻关，绘制了世界上第一张泡桐基因组精细图谱，建立了四倍体泡桐种质创制体系，利用多组学技术揭示了泡桐丛枝病发生机理，开发出了针对性的防治技术，研究成果达到国际领先水平，先后获得国家科技进步二等奖2项。尤其是在兰考县，林学学科老一辈和年轻一代长期努力，大面积推广泡桐种植，成就了上世纪五六十年代“一片黄沙—背井离乡”成为今天“满眼绿色—共奔小康”富裕之路。5年来，培育的泡桐新品种在河南、安徽、山东等20多个省市自治区累计推广种植1亿多株，实现总产值1000多亿元，每亩收入达10000余元，在我国中西部地区区域生态经济、经济建设和社会建设中做出了重大贡献。</w:t>
      </w:r>
    </w:p>
    <w:p w14:paraId="55F09AE9">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根据河南林业特点，彭万喜教授团队深度解析刺槐等木本植物成分，发现镇痛、缓解抑郁、抗癌等高活性成分，挖掘木本植物特殊功效，创建有效/无毒成分多样性共存与协同增效的利用模式，急剧降低提纯技术难度与产品成本，颠覆传统木本植物组分的自然多样性或单一利用模式，助推河南省大信整体厨房科贸有限公司，成为全国唯一家以家具为中心的4A旅游景区；通过林木抽提物与中药复配，研制复方精油等系列产品，解除了广大患者的疼痛，助推张家界仙踪林农业科技开发有限公司成功上市；创新橡子、板栗、七叶果淀粉无水提纯技术，实现木本淀粉生产零排放，橡子、板栗、七叶果附加值提高了20倍。近五年来，代表性应用企业新增产值50多亿元，解决5000多人就业，构建木本资源保护性开发与高值化利用关键理论与共性技术，实现“绿叶”变“金叶”，创建了不砍树也高收益的林业经济新模式，推动林产工业产业升级，引领国家新时代林业产业的可持续发展，保障生态环境安全；获得教育部科技进步一等奖、国家技术发明二等奖。</w:t>
      </w:r>
    </w:p>
    <w:p w14:paraId="37774078">
      <w:pPr>
        <w:pStyle w:val="6"/>
        <w:spacing w:line="360" w:lineRule="auto"/>
        <w:outlineLvl w:val="1"/>
        <w:rPr>
          <w:rFonts w:hint="eastAsia" w:ascii="宋体" w:hAnsi="宋体" w:eastAsia="宋体" w:cs="宋体"/>
          <w:b/>
          <w:bCs w:val="0"/>
          <w:sz w:val="24"/>
          <w:szCs w:val="24"/>
          <w:lang w:val="en-US" w:eastAsia="zh-CN"/>
        </w:rPr>
      </w:pPr>
      <w:bookmarkStart w:id="95" w:name="_Toc19400"/>
      <w:r>
        <w:rPr>
          <w:rFonts w:hint="eastAsia" w:hAnsi="宋体" w:eastAsia="宋体" w:cs="宋体"/>
          <w:b/>
          <w:bCs w:val="0"/>
          <w:sz w:val="24"/>
          <w:szCs w:val="24"/>
          <w:lang w:val="en-US" w:eastAsia="zh-CN"/>
        </w:rPr>
        <w:t>5</w:t>
      </w:r>
      <w:r>
        <w:rPr>
          <w:rFonts w:hint="eastAsia" w:ascii="宋体" w:hAnsi="宋体" w:eastAsia="宋体" w:cs="宋体"/>
          <w:b/>
          <w:bCs w:val="0"/>
          <w:sz w:val="24"/>
          <w:szCs w:val="24"/>
          <w:lang w:val="en-US" w:eastAsia="zh-CN"/>
        </w:rPr>
        <w:t>.4助力生态文明建设和高质量发展</w:t>
      </w:r>
      <w:bookmarkEnd w:id="95"/>
    </w:p>
    <w:p w14:paraId="106DFB32">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针对太行山等石质、干旱困难山地，以困难地植被恢复为突破口，杨喜田教授、赵勇教授带领团队，以林木强壮根系的形成机理与生态功能为主线，以土壤与植被的协同演替机制为基础，以多目标森林生态系统构建为核心，开展困难地植被恢复技术的研发与推广示范，实现荒山变绿山，助力森林河南建设。先后在安阳、新乡、焦作、济源等地市推广示范种基盘造林技术、干旱裸露地植被恢复技术、立体保水造林技术，推广造林新技术40余万亩；在太行山等困难山地植树造林2万余亩，林木成活率由55%提高到73%，为绿太行、富太行、美太行做出了重要贡献。指导灵宝小秦岭金矿矿区生态恢复工程技术工作，通过筛选特色灌木，研发种植技术，全面恢复了小秦岭金矿矿区生态功能。先后组织技术培训8次，受训人员500余人次；举办各类培训班600多人次，印发技术资料4万多份，在“绿盾2017”国家级自然保护区监督检查专项行动中取得了第1名的好成绩，被河南日报、河南电视台等主流媒体报道。</w:t>
      </w:r>
    </w:p>
    <w:p w14:paraId="0765DEBC">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为促进林业生态体系建设、教育科研利用，近五年来，杨喜田教授团队积极配合河南省林业厅《关于开展全省林木种质资源普查工作的通知》及《河南省林木种质资源普查工作方案》等有关行动，开展对伏牛山区有关46个县（市、区）野生林木种质资源的普查工作。初步查明了伏牛山区现有野生木本植物89科、298属、1236种；采集植物图片43565幅；初步查明伏牛山地区的林上冠层优势种主要为华山松、油松、栓皮栎、槲栎等；林下灌木层主要树种为青荚叶、三裂绣线菊、刺悬钩子、接骨木等；定位了国家一级珍贵树种珙桐、香果树和南方红豆杉；探访并登记了“绿色文物”古树名木250种共计1537株，展现了我国渊源流长的历史与文化传承，促进了生态文明的创建。在此基础上，从伏牛山区常见造林用材树种中，筛选出涵盖61个树种的389处优良林分及427株优良单株，为实现林木“高产、优质、高效”的战略目标提供了重要的物质基础。普查结果为河南伏牛山地区开展合理的林业多项经营，发展森林康养，名木古树的保护及健全，提高森林生态系统的功能，实现绿色发展，提供了重要的参考依据。</w:t>
      </w:r>
    </w:p>
    <w:p w14:paraId="2DAC0A75">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 xml:space="preserve">围绕土壤养分高效利用、耕地地力保育、土壤环境质量改善，赵鹏教授团队筛选出一批适合河南省地域和生态特色的重金属高积累和低积累农作物品种，被河南省环保厅采用并推广；筛选出适合北方石灰性土壤的改良剂配方，构建了北方石灰性土壤重金属污染农艺修复技术体系，在济源市开展原位稳定化修复技术工程示范。谭金芳教授和韩燕来教授带领团队，主持了河南省第一和第二次土壤普查，开展了豫东盐碱地综合治理、沿黄风沙土综合治理、砂薄地综合改良，提出了“盐碱地植棉”、“沿黄稻改”等关键治理技术，建立了河南省土壤养分数据库、土壤污染状况数据库、河南省农产品产地重金属污染防治普查项目土壤样品库，制定了河南省小麦、玉米作物营养与施肥技术规程，提出了中低产田改良和地力提升关键技术，构建了河南省土壤重金属污染农艺措施修复技术体系，创立的小麦-玉米轮作高产、高效和简化施肥技术体系，在黄淮海地区得到广泛应用。在河南温县、杞县、浚县、滑县等粮食主产县开展小麦玉米高产高效最佳养分管理技术研究与示范，累积推广面积 1000 万亩以上，增产 8%-15%，每亩节本增效 100 元以上，提高肥料利用率 5-10 个百分点。与湖北新洋丰、云天化集团、安徽司尔特、河南心连心等知名肥料企业开展技术合作，指导企业开展配方肥的生产和推广应用，累积推广 3000 多万亩，取得了良好的社会效益。 </w:t>
      </w:r>
    </w:p>
    <w:p w14:paraId="3BFDEA17">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段铁城教授和胡建东教授团队针对不同的作物种植品种和土壤类型，研究开发了相应的肥料推荐体系，先后制定了“酸性土壤铵态氮、有效磷、速效钾的测定联合浸提—比色法”“中性、石灰性土壤铵态氮、有效磷、速效钾的测定联合浸提—比色法”行业标准和河南省地方标准《便携式土壤养分快速测定仪通用技术条件》。开发的便携智能化土壤养分快速测定仪的速测浸提技术达到国际先进水平，在农村基层推广数量达到1万多台，基本实现了河南省测土配方施肥全覆盖。在全国培训速测技术和操作人员3000余人，陆续建立起乡镇检测站近2万个，大大提升了土壤养分检测效率。</w:t>
      </w:r>
    </w:p>
    <w:p w14:paraId="38E9FE87">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为提高肥料资源利用效率，刘红恩教授团队与河南雏鹰农牧集团开展技术合作，开展了养殖污水和畜禽粪便有机肥农田安全消纳利用技术示范，在新郑市、中牟县、长葛市、内乡等地得到推广应用。与河南花花牛实业总公司合作开展利用畜禽废弃物生产烟草专用生物有机肥的研究，对有机肥发酵工艺优化、原料配比优化、高效菌剂筛选及扩繁、专用生物有机肥配方研发等进行全程技术指导，研发的烟草专用和园艺作物专用生物有机肥，在平顶山、洛阳、登封等地得到推广应用。以专利技术“大田专用缓控释肥”与河南莲味宝肥业有限公司技术合作。改良肥料挤压造粒技术（一次挤压成型技术），可用于不同粒径和形状的颗粒肥料批量化生产，使实现单株定量施肥成为可能。研发的高效水溶性叶面肥、蔬菜专用滴灌水溶性肥等新型肥料产品由郑州博奥化工有限公司中试生产，在许昌、南阳等地推广应用2 万多亩；研发的烟草水肥一体化装置和技术体系，在山东省、河南许昌市河南阳市推广应用 1 万多亩，产生了较大的社会影响。</w:t>
      </w:r>
    </w:p>
    <w:p w14:paraId="09CF880D">
      <w:pPr>
        <w:pStyle w:val="6"/>
        <w:spacing w:line="360" w:lineRule="auto"/>
        <w:outlineLvl w:val="1"/>
        <w:rPr>
          <w:rFonts w:hint="eastAsia" w:ascii="宋体" w:hAnsi="宋体" w:eastAsia="宋体" w:cs="宋体"/>
          <w:b/>
          <w:bCs w:val="0"/>
          <w:sz w:val="24"/>
          <w:szCs w:val="24"/>
          <w:lang w:val="en-US" w:eastAsia="zh-CN"/>
        </w:rPr>
      </w:pPr>
      <w:bookmarkStart w:id="96" w:name="_Toc7630"/>
      <w:r>
        <w:rPr>
          <w:rFonts w:hint="eastAsia" w:hAnsi="宋体" w:eastAsia="宋体" w:cs="宋体"/>
          <w:b/>
          <w:bCs w:val="0"/>
          <w:sz w:val="24"/>
          <w:szCs w:val="24"/>
          <w:lang w:val="en-US" w:eastAsia="zh-CN"/>
        </w:rPr>
        <w:t>5</w:t>
      </w:r>
      <w:r>
        <w:rPr>
          <w:rFonts w:hint="eastAsia" w:ascii="宋体" w:hAnsi="宋体" w:eastAsia="宋体" w:cs="宋体"/>
          <w:b/>
          <w:bCs w:val="0"/>
          <w:sz w:val="24"/>
          <w:szCs w:val="24"/>
          <w:lang w:val="en-US" w:eastAsia="zh-CN"/>
        </w:rPr>
        <w:t>.5助推畜牧大省向畜牧强省转变</w:t>
      </w:r>
      <w:bookmarkEnd w:id="96"/>
    </w:p>
    <w:p w14:paraId="40C43B4F">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为推动河南由畜牧业大省向畜牧业强省转变，康相涛教授、高腾云教授、菅复春教授和赵改名教授等以产业技术岗位科学家为骨干力量，打造了肉牛、奶牛服务团队，养鸡及鸡病服务团队，养猪及猪病服务团队，养羊及羊病服务团队，组织实施了13项三区人才项目和20项科技扶贫项目，深入河南省十多个地区200多个大中型养殖企业和养殖户进行指导，为大型养殖企业提供“专家服务团队”，对中小型养殖企业开展“一对一专业技术指导”。5年来，为国内20余家大型养殖企业提供免疫评价和主要疫病病原检测监测8万多份，进行生物安全防控培训80多次，进行兽药合理使用和抗生素替代品中草药制剂培训50余次，重要疫病净化专题讲座35次，培训养殖企业和养猪户25000多人次。</w:t>
      </w:r>
    </w:p>
    <w:p w14:paraId="3800DD96">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这其中，康相涛教授团队35年来一直致力于地方鸡保护与利用研究，以河南固始鸡、卢氏鸡、淅川乌骨鸡和正阳三黄鸡等地方品种为研究主体，为河南乃至全我国家禽资源战略安全、种业自主创新、产业绿色可持续发展和区域脱贫攻坚作出突出贡献。首次提出地方鸡“单流向”利用保护和“通用核心系”培育理念，创新通用核心系参与配套的分领域保护技术，破解了我国地方鸡长期存在保护与利用相矛盾的难题；创新地方鸡“快速平衡”育种技术，突破了我国地方鸡育种周期长、高产与优质难兼顾的技术瓶颈；建立了以“通用核心系”为纽带的地方鸡资源创新利用共享平台，破解了我国地方鸡品种多、性能低、逐一选育配套系难等难题，实现了我国地方鸡种业高效简捷化制种。新发现国家遗传资源1个，主持培育出特色新品系19个、创建制种模式13套、审定“三高青脚黄鸡3号”和“豫粉1号”蛋鸡2个国审新品种；以第一或通讯作者发表论文196篇；主编著作8部，以第一起草人制定地方标准4项。建设了种质资源库，保存了地方鸡珍贵品种27个。创建的地方鸡保护利用技术体系，已在我国18个地方鸡品种中应用，占我国地方鸡总数的16.8%，促进了我国地方鸡资源优势向产业优势的转变，累计创造效益达205亿元。主持获得国家技术发明二等奖1项、国家科技进步二等奖1项和河南省科技进步奖一等奖1项、二等奖2项。</w:t>
      </w:r>
    </w:p>
    <w:p w14:paraId="57383C17">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张改平院士的动物免疫学研究团队以动物疫病与食品安全作为研究方向，牵头成立了河南省生物制品产业技术创新战略联盟、河南省兽用制品产业技术创新战略联盟和河南省家禽产业技术创新战略联盟等5个产业联盟，建立了以抗原、抗体和半抗原为靶标的三大免疫试纸快速检测技术体系，研制的多种快速检测试纸产品属于国内外首创，引领了我国快速检测理论、技术、产品、产业的发展。系统开展了肉类中主要兽药、重要人畜共患病原、违禁添加物和致病微生物等有毒有害污染物的快速检测技术产品研究。开辟了动物疫病快速诊断新领域，为重大动物疫病的快速检测提供了新的技术支撑。建立了动物源性产品中410种农、兽药残留的检测技术。通过在多个河南省及其他省份大型食品企业的应用，有效阻止了含药残及污染物的畜禽进入屠宰线，保障了动物源性食品安全，有效保证了畜禽肉制品安全和人体健康，具有极大的公共卫生学意义。获得授权专利52项，获得新兽药证书5项，获国家技术发明二等奖1项、国家科技进步二等奖1项、省部级科技进步一等奖5项。尤其是自非洲猪瘟和新冠疫情以来，张改平院士带领跨校协作团队在检测技术、疫苗研发等方面再次取得一系列重大阶段性成果，获得社会各方面一致高度好评。</w:t>
      </w:r>
    </w:p>
    <w:p w14:paraId="3E4DA237">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在禽病毒病疫苗研发方面，以王泽霖教授、崔保安教授为代表的研究团队，从90年代开始与国内众多知名养殖企业、疫苗厂家等单位密切合作，针对鸡新城疫、支气管炎、禽流感、传染性法氏囊病等新老禽病不断暴发和流行的状况，先后研发了鸡新城疫-传染性法氏囊病二联灭活疫苗、鸡新城疫-传染性支气管炎-传染性法氏囊并三联灭活疫苗、鸡新城疫-传染性支气管炎-减蛋综合症-传染性法氏囊病等疫苗，并获得18项国家新兽药证书，成功转让天津瑞普、乾元浩生物股份、福州大北农等21家知名生物制品企业，成果转化率100%，累计转让经费1.2亿元，实现养殖增效约21亿元。被中央电视台、光明网等多家媒体专项报道。</w:t>
      </w:r>
    </w:p>
    <w:p w14:paraId="272FA9B1">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围绕猪的新发和多发重要疫病，特别是猪传染性胃肠炎病毒、猪流行性腹泻病毒和猪δ冠状病毒、猪伪狂犬病毒，开展新型诊断试剂、新型疫苗和新型免疫佐剂研究，帮助大型养猪企业，如牧原公司、新大牧业公司、诸美集团等养猪企业建立了完善猪病分子诊断实验室和诊断系统，对其猪病控制起了关键性作用。与河南省well-pig公司合作，帮助其建立猪病检测服务和猪体健康体检服务体系，公司成功通过了CMA认证，年可检测4万份样品以上。</w:t>
      </w:r>
    </w:p>
    <w:p w14:paraId="28575B59">
      <w:pPr>
        <w:pStyle w:val="6"/>
        <w:spacing w:line="360" w:lineRule="auto"/>
        <w:outlineLvl w:val="1"/>
        <w:rPr>
          <w:rFonts w:hint="eastAsia" w:ascii="宋体" w:hAnsi="宋体" w:eastAsia="宋体" w:cs="宋体"/>
          <w:b/>
          <w:bCs w:val="0"/>
          <w:sz w:val="24"/>
          <w:szCs w:val="24"/>
          <w:lang w:val="en-US" w:eastAsia="zh-CN"/>
        </w:rPr>
      </w:pPr>
      <w:bookmarkStart w:id="97" w:name="_Toc15654"/>
      <w:r>
        <w:rPr>
          <w:rFonts w:hint="eastAsia" w:hAnsi="宋体" w:eastAsia="宋体" w:cs="宋体"/>
          <w:b/>
          <w:bCs w:val="0"/>
          <w:sz w:val="24"/>
          <w:szCs w:val="24"/>
          <w:lang w:val="en-US" w:eastAsia="zh-CN"/>
        </w:rPr>
        <w:t>5</w:t>
      </w:r>
      <w:r>
        <w:rPr>
          <w:rFonts w:hint="eastAsia" w:ascii="宋体" w:hAnsi="宋体" w:eastAsia="宋体" w:cs="宋体"/>
          <w:b/>
          <w:bCs w:val="0"/>
          <w:sz w:val="24"/>
          <w:szCs w:val="24"/>
          <w:lang w:val="en-US" w:eastAsia="zh-CN"/>
        </w:rPr>
        <w:t>.6加速农业废弃物资源化利用，加速农艺与农机相融合</w:t>
      </w:r>
      <w:bookmarkEnd w:id="97"/>
    </w:p>
    <w:p w14:paraId="152594A0">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学校自1981年设立全国第一个农村能源专业以来，就把废弃物资源能源化作为主要研究方向。以张百良教授、张全国教授为代表团队发扬“扎根农村能源”精神，在农业废弃物燃料成型化方面做出了卓越贡献。提出了物质循环和能量循环相耦合的农业废弃物资源化双元循环理论，创建了农业废弃物燃料化、肥料化和基料化于一体的“三化”协同多联产技术体系，研制并推广应用了适应不同区域特征及用户需求的系列装备，形成了农业废弃物资源化多联产的理论、技术和装备体系，在黑龙江、河南、山东等地得到了产业化应用。在西峡县建立了国家科普示范基地“生态型沼气发酵气肥联产科普基地（河南西峡）”，建设了大型科普示范基地群，其中包括1个生态型沼气发酵气肥联产科普示范基地和6个沼气全面替代农户家庭商品用能推广示范点。建立了生物质高效利用、有机肥料生产、农作物种植和环境保护等有机结合的联产成套技术与装备体系，形成了基于价值链的联产及应用模式，起到了良好的科技示范、技能培训等作用，受到网易新闻、大河网、西峡政府网全国各大媒体的报道，引起社会广泛关注和赞誉。新增销售额 21.5亿元，减排二氧化碳 552 万吨，农民人均年增收 2000 元。获得2017年度河南省科技进步奖一等奖、2016年度中国沼气学会科技创新一等奖和河南省科普成果一等奖。</w:t>
      </w:r>
    </w:p>
    <w:p w14:paraId="557F61CD">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河南省作为粮食生产大省，每年产生各类秸秆总量近1亿吨。为推进秸秆规模化、产业化利用，解决秸秆焚烧引起的环境污染，尽快形成秸秆利用与农业发展的良性循环，改善农村生态环境，徐广印教授带领团队，立足农作物秸秆收储运一体化物流体系构建，开展了农作物秸秆机械化捆捡拾压捆、联户式中小型沼气发电技术开发与示范、农产品物流能源消耗系统分析与优化、农作物秸秆收储运技术集成与示范、农作物秸秆收储运系统仿真优化等系列研究，在秸秆收储运组织模式、秸秆物流成本、秸秆利用能值构成、农业秸秆配送中心选址等体系构建上形成了适合中原粮食主产区的实践成果。近年来，相关成果在太康锅炉厂、豫鑫物流、登电集团等公司进行应用，形成秸秆收储运能力近百万吨/年，覆盖农作物种植面积50多平方公里的秸秆物流网络，降低综合物流成本4千多万，实现传统能源替代30万吨标准煤，取得了良好的社会效益和经济效益。</w:t>
      </w:r>
    </w:p>
    <w:p w14:paraId="77F3B8BA">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为加速实现农艺与农机相融合，王万章教授团队依托国家小麦产业技术体系平台，开展小麦收获机械作业生产系统信息化管理研究，科学调度机械作业生产，特别跨区收获作业生产，并根据气象信息，病虫害信息，组织小麦快速机械化收获生产，可以达到提高效率，降低灾害损失的目的，并利用秸秆利用，增加农民收入。系统提出了在我国小麦生产中，实现不落地收获，小麦快速干燥，小麦专种专收专储的技术方向和技术模式。研发小麦机械化生产机具5台（套），推荐机型109 种，清选机型54种，小麦干燥装备22 种。2015年以来，在河南省市长葛市建立小麦快速收获干燥技术示范点1个，推荐小麦干燥技术装备23种，清选装备20种。在安阳滑县、许昌长葛、新乡辉县等地共建立超过2万亩生产试验示范基地，其中核心示范区5千亩。通过对农机管理人员、技术骨干及农机大户的技术培训，加强技术引领推广作用。通过示范和应用，目前以形成全程机械化标准作业技术模式，推广面积超过20万亩，为农户节本80～130元/亩。</w:t>
      </w:r>
    </w:p>
    <w:p w14:paraId="19EFD177">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依托大豆、玉米产业技术体系平台，李赫副教授和张红梅副教授带领科研团队，研发出与黄淮海大豆、玉米机械化生产相配套的现代农业装备。与企业合作创新研制出配套机械2BMFD-6/12型防缠绕免耕起垄播种机、2BMSF-4型玉米-大豆精量播种机、4LZ-2型行间玉米收获机、4LZ-1.0型行间大豆联合收获机等。制定形成了黄淮海及南方区域大豆生产“机械化机组配套选型机器系统优化配备方案”、“大豆不同种植模式下农艺与农机融合生产方案”。推进玉米籽收技术体系和生产模式，形成“良种+良技+良机+烘干”的融合，在商丘、南宁、贵阳、银川等地试验站进行试验示范后反映良好。在永城市双高产示范田国家专家组现场测产结果：亩产玉米610公斤、大豆80公斤，实现每亩增收300元。中国农业新闻网、新华网、农民日报等多家媒体，对该项技术进行了宣传报道。目前该技术在黄淮海及南方地区累计示范推广面积达1万5千亩。</w:t>
      </w:r>
    </w:p>
    <w:p w14:paraId="15F9F9A4">
      <w:pPr>
        <w:pStyle w:val="6"/>
        <w:spacing w:line="360" w:lineRule="auto"/>
        <w:outlineLvl w:val="1"/>
        <w:rPr>
          <w:rFonts w:hint="eastAsia" w:ascii="宋体" w:hAnsi="宋体" w:eastAsia="宋体" w:cs="宋体"/>
          <w:b/>
          <w:bCs w:val="0"/>
          <w:sz w:val="24"/>
          <w:szCs w:val="24"/>
          <w:lang w:val="en-US" w:eastAsia="zh-CN"/>
        </w:rPr>
      </w:pPr>
      <w:bookmarkStart w:id="98" w:name="_Toc7440"/>
      <w:r>
        <w:rPr>
          <w:rFonts w:hint="eastAsia" w:hAnsi="宋体" w:eastAsia="宋体" w:cs="宋体"/>
          <w:b/>
          <w:bCs w:val="0"/>
          <w:sz w:val="24"/>
          <w:szCs w:val="24"/>
          <w:lang w:val="en-US" w:eastAsia="zh-CN"/>
        </w:rPr>
        <w:t>5</w:t>
      </w:r>
      <w:r>
        <w:rPr>
          <w:rFonts w:hint="eastAsia" w:ascii="宋体" w:hAnsi="宋体" w:eastAsia="宋体" w:cs="宋体"/>
          <w:b/>
          <w:bCs w:val="0"/>
          <w:sz w:val="24"/>
          <w:szCs w:val="24"/>
          <w:lang w:val="en-US" w:eastAsia="zh-CN"/>
        </w:rPr>
        <w:t>.7助力脱贫攻坚与乡村振兴</w:t>
      </w:r>
      <w:bookmarkEnd w:id="98"/>
    </w:p>
    <w:p w14:paraId="5708F60C">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中药材产业扶贫是河南省打赢脱贫攻坚战的重要举措。高致明教授团队以18项三区人才项目、3项科技特派员项目为依托，积极进行中药材生产技术培训和指导，助推精准扶贫。五年来，学科十余名教师，足迹踏遍了嵩县、南召、洛阳、卢氏、社旗、淅川、伊川、新安等20多个县市，先后进行培训150余次，深入田间地头500余次，推广栀子园艺修剪、半夏适当密植条播、连翘扦插育苗和丰产修剪技术、丹参“两压”育苗技术等12项关键技术，为唐栀子、唐半夏、裕丹参、卢氏连翘、渑池丹参等品牌的塑造提供了很好的技术支撑。先后为卢氏县横涧乡畜牧村农民共节约成本150多万元；双龙湾东虎岭村户均收入增加2000多元。渑池县丹参育苗数量从每亩地15万棵，增加到40万棵以上，每亩增收2万元。嵩县，帮扶本校毕业生回乡创业，带动村民种植菊花、迷迭香、板蓝根、丹参、柴胡等中药材，已带领7个村子，500户贫困户脱贫，每户年收入增加3000元。</w:t>
      </w:r>
    </w:p>
    <w:p w14:paraId="15D0DB93">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为充分发挥经济林的优势，冯建灿教授和张党权教授带领科研团队，聚焦核桃、油茶、桃、葡萄、苹果、茶等特色经济林木，通过“示范基地+辐射农户”的手段，采用“良种+良法+良品”的推广模式，普及整形修剪与水肥管理等栽培关键技术，推广油茶丰产栽培与茶油深加工、高品质核桃油深加工、桑葚加工等技术，开发出高品质核桃油、核桃蛋白粉、茶油、桑叶茶、桑葚酒、桑葚饮料等系列特色经济林木产品。五年来，推广示范经济林新品种20余个，编制行业和地方标准7项；建设示范基地30余处；指导建设示范生产线9条；开展技术培训200余场次，累计培训农户上万人次，发放技术资料12000余套；在台前、汝州、灵宝、淮滨、等地辐射推广面积60余万亩，帮助1000多贫困户脱贫；特别是对口扶贫的台前县吴坝镇通过发展蚕桑等特色产业，脱贫200余户500余人。</w:t>
      </w:r>
    </w:p>
    <w:p w14:paraId="0AB87AE7">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特别值得指出的是，学校在定向定点结对帮扶助力脱贫攻坚的过程中，建立了校领导定期驻村制度，选强配好驻村干部，组织10个专家团队调研指导精准扶贫和驻村工作，建设了规模化养鸡场和“良种示范田”，实施了“高效农业种植、现代畜牧养殖、有机肥加工”一体化的循环农业项目。推动扶沟县大李庄乡冯老村已经实现整村脱贫。成立了对口帮扶台前县工作领导小组和驻台前县工作组，制定了《结对帮扶台前县5大产业发展规划暨技术帮扶方案》，建设了园艺、林学、社会合作实习实践基地，开展了多个优质瓜果蔬菜品种示范种植，指导成立农业合作社，推动建设优质瓜果蔬菜产业示范园和蚕桑产业扶贫示范园，扶贫成效得到河南省主要领导的高度肯定和媒体的广泛报道。</w:t>
      </w:r>
    </w:p>
    <w:p w14:paraId="6F6B560A">
      <w:pPr>
        <w:pStyle w:val="6"/>
        <w:spacing w:line="360" w:lineRule="auto"/>
        <w:outlineLvl w:val="0"/>
        <w:rPr>
          <w:rFonts w:hint="eastAsia" w:ascii="黑体" w:hAnsi="黑体" w:eastAsia="黑体" w:cs="黑体"/>
          <w:bCs/>
          <w:sz w:val="28"/>
          <w:szCs w:val="28"/>
          <w:lang w:val="en-US" w:eastAsia="zh-CN"/>
        </w:rPr>
      </w:pPr>
      <w:bookmarkStart w:id="99" w:name="_Toc2283"/>
      <w:r>
        <w:rPr>
          <w:rFonts w:hint="eastAsia" w:ascii="黑体" w:hAnsi="黑体" w:eastAsia="黑体" w:cs="黑体"/>
          <w:bCs/>
          <w:sz w:val="28"/>
          <w:szCs w:val="28"/>
          <w:lang w:val="en-US" w:eastAsia="zh-CN"/>
        </w:rPr>
        <w:t>6</w:t>
      </w:r>
      <w:r>
        <w:rPr>
          <w:rFonts w:hint="eastAsia" w:ascii="黑体" w:hAnsi="黑体" w:eastAsia="黑体" w:cs="黑体"/>
          <w:bCs/>
          <w:sz w:val="28"/>
          <w:szCs w:val="28"/>
        </w:rPr>
        <w:t xml:space="preserve">. </w:t>
      </w:r>
      <w:r>
        <w:rPr>
          <w:rFonts w:hint="eastAsia" w:ascii="黑体" w:hAnsi="黑体" w:eastAsia="黑体" w:cs="黑体"/>
          <w:bCs/>
          <w:sz w:val="28"/>
          <w:szCs w:val="28"/>
          <w:lang w:val="en-US" w:eastAsia="zh-CN"/>
        </w:rPr>
        <w:t>区域特色骨干大学产教深度融合存在的短板</w:t>
      </w:r>
      <w:bookmarkEnd w:id="99"/>
    </w:p>
    <w:p w14:paraId="3D4F0296">
      <w:pPr>
        <w:pStyle w:val="6"/>
        <w:spacing w:line="360" w:lineRule="auto"/>
        <w:outlineLvl w:val="1"/>
        <w:rPr>
          <w:rFonts w:hint="default" w:ascii="宋体" w:hAnsi="宋体" w:eastAsia="宋体" w:cs="宋体"/>
          <w:b/>
          <w:bCs w:val="0"/>
          <w:sz w:val="24"/>
          <w:szCs w:val="24"/>
          <w:lang w:val="en-US" w:eastAsia="zh-CN"/>
        </w:rPr>
      </w:pPr>
      <w:bookmarkStart w:id="100" w:name="_Toc4674"/>
      <w:r>
        <w:rPr>
          <w:rFonts w:hint="eastAsia" w:hAnsi="宋体" w:eastAsia="宋体" w:cs="宋体"/>
          <w:b/>
          <w:bCs w:val="0"/>
          <w:sz w:val="24"/>
          <w:szCs w:val="24"/>
          <w:lang w:val="en-US" w:eastAsia="zh-CN"/>
        </w:rPr>
        <w:t>6</w:t>
      </w:r>
      <w:r>
        <w:rPr>
          <w:rFonts w:hint="eastAsia" w:ascii="宋体" w:hAnsi="宋体" w:eastAsia="宋体" w:cs="宋体"/>
          <w:b/>
          <w:bCs w:val="0"/>
          <w:sz w:val="24"/>
          <w:szCs w:val="24"/>
          <w:lang w:val="en-US" w:eastAsia="zh-CN"/>
        </w:rPr>
        <w:t>.1“顶天立地”能力</w:t>
      </w:r>
      <w:r>
        <w:rPr>
          <w:rFonts w:hint="eastAsia" w:hAnsi="宋体" w:eastAsia="宋体" w:cs="宋体"/>
          <w:b/>
          <w:bCs w:val="0"/>
          <w:sz w:val="24"/>
          <w:szCs w:val="24"/>
          <w:lang w:val="en-US" w:eastAsia="zh-CN"/>
        </w:rPr>
        <w:t>需要提升</w:t>
      </w:r>
      <w:bookmarkEnd w:id="100"/>
    </w:p>
    <w:p w14:paraId="48D5C542">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受区域经济发展水平、学科发展平台、薪酬待遇保障等因素限制，河南省的特色骨干高校和其他中西部省份一样，缺乏高端人才，引进和培养的难度日益增大。目前，</w:t>
      </w:r>
      <w:r>
        <w:rPr>
          <w:rFonts w:hint="eastAsia" w:hAnsi="宋体" w:eastAsia="宋体" w:cs="宋体"/>
          <w:bCs/>
          <w:sz w:val="24"/>
          <w:szCs w:val="24"/>
          <w:lang w:val="en-US" w:eastAsia="zh-CN"/>
        </w:rPr>
        <w:t>河南省</w:t>
      </w:r>
      <w:r>
        <w:rPr>
          <w:rFonts w:hint="eastAsia" w:ascii="宋体" w:hAnsi="宋体" w:eastAsia="宋体" w:cs="宋体"/>
          <w:bCs/>
          <w:sz w:val="24"/>
          <w:szCs w:val="24"/>
          <w:lang w:val="en-US" w:eastAsia="zh-CN"/>
        </w:rPr>
        <w:t>10余所特色骨干大学中两院院士</w:t>
      </w:r>
      <w:r>
        <w:rPr>
          <w:rFonts w:hint="eastAsia" w:hAnsi="宋体" w:eastAsia="宋体" w:cs="宋体"/>
          <w:bCs/>
          <w:sz w:val="24"/>
          <w:szCs w:val="24"/>
          <w:lang w:val="en-US" w:eastAsia="zh-CN"/>
        </w:rPr>
        <w:t>没有一些985大学中的一个多</w:t>
      </w:r>
      <w:r>
        <w:rPr>
          <w:rFonts w:hint="eastAsia" w:ascii="宋体" w:hAnsi="宋体" w:eastAsia="宋体" w:cs="宋体"/>
          <w:bCs/>
          <w:sz w:val="24"/>
          <w:szCs w:val="24"/>
          <w:lang w:val="en-US" w:eastAsia="zh-CN"/>
        </w:rPr>
        <w:t>；博士学位授予权</w:t>
      </w:r>
      <w:r>
        <w:rPr>
          <w:rFonts w:hint="eastAsia" w:hAnsi="宋体" w:eastAsia="宋体" w:cs="宋体"/>
          <w:bCs/>
          <w:sz w:val="24"/>
          <w:szCs w:val="24"/>
          <w:lang w:val="en-US" w:eastAsia="zh-CN"/>
        </w:rPr>
        <w:t>单位少，</w:t>
      </w:r>
      <w:r>
        <w:rPr>
          <w:rFonts w:hint="eastAsia" w:ascii="宋体" w:hAnsi="宋体" w:eastAsia="宋体" w:cs="宋体"/>
          <w:bCs/>
          <w:sz w:val="24"/>
          <w:szCs w:val="24"/>
          <w:lang w:val="en-US" w:eastAsia="zh-CN"/>
        </w:rPr>
        <w:t>研究生</w:t>
      </w:r>
      <w:r>
        <w:rPr>
          <w:rFonts w:hint="eastAsia" w:hAnsi="宋体" w:eastAsia="宋体" w:cs="宋体"/>
          <w:bCs/>
          <w:sz w:val="24"/>
          <w:szCs w:val="24"/>
          <w:lang w:val="en-US" w:eastAsia="zh-CN"/>
        </w:rPr>
        <w:t>数量</w:t>
      </w:r>
      <w:r>
        <w:rPr>
          <w:rFonts w:hint="eastAsia" w:ascii="宋体" w:hAnsi="宋体" w:eastAsia="宋体" w:cs="宋体"/>
          <w:bCs/>
          <w:sz w:val="24"/>
          <w:szCs w:val="24"/>
          <w:lang w:val="en-US" w:eastAsia="zh-CN"/>
        </w:rPr>
        <w:t>特别是博士生规模</w:t>
      </w:r>
      <w:r>
        <w:rPr>
          <w:rFonts w:hint="eastAsia" w:hAnsi="宋体" w:eastAsia="宋体" w:cs="宋体"/>
          <w:bCs/>
          <w:sz w:val="24"/>
          <w:szCs w:val="24"/>
          <w:lang w:val="en-US" w:eastAsia="zh-CN"/>
        </w:rPr>
        <w:t>更少</w:t>
      </w:r>
      <w:r>
        <w:rPr>
          <w:rFonts w:hint="eastAsia" w:ascii="宋体" w:hAnsi="宋体" w:eastAsia="宋体" w:cs="宋体"/>
          <w:bCs/>
          <w:sz w:val="24"/>
          <w:szCs w:val="24"/>
          <w:lang w:val="en-US" w:eastAsia="zh-CN"/>
        </w:rPr>
        <w:t>；</w:t>
      </w:r>
      <w:r>
        <w:rPr>
          <w:rFonts w:hint="eastAsia" w:hAnsi="宋体" w:eastAsia="宋体" w:cs="宋体"/>
          <w:bCs/>
          <w:sz w:val="24"/>
          <w:szCs w:val="24"/>
          <w:lang w:val="en-US" w:eastAsia="zh-CN"/>
        </w:rPr>
        <w:t>原始</w:t>
      </w:r>
      <w:r>
        <w:rPr>
          <w:rFonts w:hint="eastAsia" w:ascii="宋体" w:hAnsi="宋体" w:eastAsia="宋体" w:cs="宋体"/>
          <w:bCs/>
          <w:sz w:val="24"/>
          <w:szCs w:val="24"/>
          <w:lang w:val="en-US" w:eastAsia="zh-CN"/>
        </w:rPr>
        <w:t>科技创新能力不足，系统解决行业产业重大问题的能力不足。这些因素造成这些高校在“顶天”方面即完成重大技术攻关、高新技术研究和基础研究的水平</w:t>
      </w:r>
      <w:r>
        <w:rPr>
          <w:rFonts w:hint="eastAsia" w:hAnsi="宋体" w:eastAsia="宋体" w:cs="宋体"/>
          <w:bCs/>
          <w:sz w:val="24"/>
          <w:szCs w:val="24"/>
          <w:lang w:val="en-US" w:eastAsia="zh-CN"/>
        </w:rPr>
        <w:t>还有差距</w:t>
      </w:r>
      <w:r>
        <w:rPr>
          <w:rFonts w:hint="eastAsia" w:ascii="宋体" w:hAnsi="宋体" w:eastAsia="宋体" w:cs="宋体"/>
          <w:bCs/>
          <w:sz w:val="24"/>
          <w:szCs w:val="24"/>
          <w:lang w:val="en-US" w:eastAsia="zh-CN"/>
        </w:rPr>
        <w:t>，在“立地”方面即面向经济社会发展主战场实现科技成果转化为现实生产力的效果不够显著。</w:t>
      </w:r>
    </w:p>
    <w:p w14:paraId="31D61FB6">
      <w:pPr>
        <w:pStyle w:val="6"/>
        <w:spacing w:line="360" w:lineRule="auto"/>
        <w:outlineLvl w:val="1"/>
        <w:rPr>
          <w:rFonts w:hint="eastAsia" w:ascii="宋体" w:hAnsi="宋体" w:eastAsia="宋体" w:cs="宋体"/>
          <w:b/>
          <w:bCs w:val="0"/>
          <w:sz w:val="24"/>
          <w:szCs w:val="24"/>
          <w:lang w:val="en-US" w:eastAsia="zh-CN"/>
        </w:rPr>
      </w:pPr>
      <w:bookmarkStart w:id="101" w:name="_Toc118"/>
      <w:r>
        <w:rPr>
          <w:rFonts w:hint="eastAsia" w:hAnsi="宋体" w:eastAsia="宋体" w:cs="宋体"/>
          <w:b/>
          <w:bCs w:val="0"/>
          <w:sz w:val="24"/>
          <w:szCs w:val="24"/>
          <w:lang w:val="en-US" w:eastAsia="zh-CN"/>
        </w:rPr>
        <w:t>6</w:t>
      </w:r>
      <w:r>
        <w:rPr>
          <w:rFonts w:hint="eastAsia" w:ascii="宋体" w:hAnsi="宋体" w:eastAsia="宋体" w:cs="宋体"/>
          <w:b/>
          <w:bCs w:val="0"/>
          <w:sz w:val="24"/>
          <w:szCs w:val="24"/>
          <w:lang w:val="en-US" w:eastAsia="zh-CN"/>
        </w:rPr>
        <w:t>.2学科优势和专业特色有所削弱</w:t>
      </w:r>
      <w:bookmarkEnd w:id="101"/>
    </w:p>
    <w:p w14:paraId="63D064AE">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高教管理体制改革后，特色骨干大学为了追求规模效益、吸引优质生源，积极增设新的学科领域和硕士、博士学科点，拓宽学科专业覆盖面，增设趋同化的热门专业，追求外延式发展。相当一部分已经逐步发展成为多科性大学，学科专业设置与一般综合性院校日趋接近，出现了追求“大而全”的倾向。除农林类、财经政法类院校外，不少院校从校名已看不出原行业的影子。在综合化发展过程中，有些高校对传统的行业特色专业进行了不恰当的调整，导致传统优势特色学科核心竞争力削弱，相关专业招生人数减少，优势特色受到削弱。当前，我省有8所骨干大学设置了60个以上的本科专业；优势特色专业占比呈现弱化趋势，如河南农业大学农学类专业仅有17个，河南师范大学师范类专业仅有22个，仅占其两校专业总数的27%、27.5%。</w:t>
      </w:r>
    </w:p>
    <w:p w14:paraId="2C2A5729">
      <w:pPr>
        <w:pStyle w:val="6"/>
        <w:spacing w:line="360" w:lineRule="auto"/>
        <w:outlineLvl w:val="1"/>
        <w:rPr>
          <w:rFonts w:hint="eastAsia" w:ascii="宋体" w:hAnsi="宋体" w:eastAsia="宋体" w:cs="宋体"/>
          <w:b/>
          <w:bCs w:val="0"/>
          <w:sz w:val="24"/>
          <w:szCs w:val="24"/>
          <w:lang w:val="en-US" w:eastAsia="zh-CN"/>
        </w:rPr>
      </w:pPr>
      <w:bookmarkStart w:id="102" w:name="_Toc1118"/>
      <w:r>
        <w:rPr>
          <w:rFonts w:hint="eastAsia" w:hAnsi="宋体" w:eastAsia="宋体" w:cs="宋体"/>
          <w:b/>
          <w:bCs w:val="0"/>
          <w:sz w:val="24"/>
          <w:szCs w:val="24"/>
          <w:lang w:val="en-US" w:eastAsia="zh-CN"/>
        </w:rPr>
        <w:t>6</w:t>
      </w:r>
      <w:r>
        <w:rPr>
          <w:rFonts w:hint="eastAsia" w:ascii="宋体" w:hAnsi="宋体" w:eastAsia="宋体" w:cs="宋体"/>
          <w:b/>
          <w:bCs w:val="0"/>
          <w:sz w:val="24"/>
          <w:szCs w:val="24"/>
          <w:lang w:val="en-US" w:eastAsia="zh-CN"/>
        </w:rPr>
        <w:t>.3办学模式与行业产业有所脱节</w:t>
      </w:r>
      <w:bookmarkEnd w:id="102"/>
    </w:p>
    <w:p w14:paraId="6A75D35D">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受办学模式和学科考核评价影响，在人才考评、绩效考核中，重学术轻应用，重纵向轻横向，使得行业主管部门、行业企业与特色骨干大学之间的联系逐渐减少、关系日益疏远，协同参与大学人才培养、学科建设的程度有所弱化。特色骨干大学在行业学科专业建设、人才培养、科技创新等方面失去了行业主管部门的指导和行业企业的支持，使其服务行业的深度和广度明显萎缩，也影响了行业人才的培养和自主创新能力的提高。同时，由于科技奖励政策落地困难，使得教师参与和解决行业企业关键技术问题的积极性、主动性不高，成果转化率偏低。</w:t>
      </w:r>
    </w:p>
    <w:p w14:paraId="014DE7C5">
      <w:pPr>
        <w:pStyle w:val="6"/>
        <w:spacing w:line="360" w:lineRule="auto"/>
        <w:outlineLvl w:val="1"/>
        <w:rPr>
          <w:rFonts w:hint="eastAsia" w:ascii="宋体" w:hAnsi="宋体" w:eastAsia="宋体" w:cs="宋体"/>
          <w:b/>
          <w:bCs w:val="0"/>
          <w:sz w:val="24"/>
          <w:szCs w:val="24"/>
          <w:lang w:val="en-US" w:eastAsia="zh-CN"/>
        </w:rPr>
      </w:pPr>
      <w:bookmarkStart w:id="103" w:name="_Toc1419"/>
      <w:r>
        <w:rPr>
          <w:rFonts w:hint="eastAsia" w:hAnsi="宋体" w:eastAsia="宋体" w:cs="宋体"/>
          <w:b/>
          <w:bCs w:val="0"/>
          <w:sz w:val="24"/>
          <w:szCs w:val="24"/>
          <w:lang w:val="en-US" w:eastAsia="zh-CN"/>
        </w:rPr>
        <w:t>6</w:t>
      </w:r>
      <w:r>
        <w:rPr>
          <w:rFonts w:hint="eastAsia" w:ascii="宋体" w:hAnsi="宋体" w:eastAsia="宋体" w:cs="宋体"/>
          <w:b/>
          <w:bCs w:val="0"/>
          <w:sz w:val="24"/>
          <w:szCs w:val="24"/>
          <w:lang w:val="en-US" w:eastAsia="zh-CN"/>
        </w:rPr>
        <w:t>.4</w:t>
      </w:r>
      <w:r>
        <w:rPr>
          <w:rFonts w:hint="eastAsia" w:hAnsi="宋体" w:eastAsia="宋体" w:cs="宋体"/>
          <w:b/>
          <w:bCs w:val="0"/>
          <w:sz w:val="24"/>
          <w:szCs w:val="24"/>
          <w:lang w:val="en-US" w:eastAsia="zh-CN"/>
        </w:rPr>
        <w:t>相关</w:t>
      </w:r>
      <w:r>
        <w:rPr>
          <w:rFonts w:hint="eastAsia" w:ascii="宋体" w:hAnsi="宋体" w:eastAsia="宋体" w:cs="宋体"/>
          <w:b/>
          <w:bCs w:val="0"/>
          <w:sz w:val="24"/>
          <w:szCs w:val="24"/>
          <w:lang w:val="en-US" w:eastAsia="zh-CN"/>
        </w:rPr>
        <w:t>引导政策支持</w:t>
      </w:r>
      <w:r>
        <w:rPr>
          <w:rFonts w:hint="eastAsia" w:hAnsi="宋体" w:eastAsia="宋体" w:cs="宋体"/>
          <w:b/>
          <w:bCs w:val="0"/>
          <w:sz w:val="24"/>
          <w:szCs w:val="24"/>
          <w:lang w:val="en-US" w:eastAsia="zh-CN"/>
        </w:rPr>
        <w:t>力度</w:t>
      </w:r>
      <w:r>
        <w:rPr>
          <w:rFonts w:hint="eastAsia" w:ascii="宋体" w:hAnsi="宋体" w:eastAsia="宋体" w:cs="宋体"/>
          <w:b/>
          <w:bCs w:val="0"/>
          <w:sz w:val="24"/>
          <w:szCs w:val="24"/>
          <w:lang w:val="en-US" w:eastAsia="zh-CN"/>
        </w:rPr>
        <w:t>不足</w:t>
      </w:r>
      <w:bookmarkEnd w:id="103"/>
    </w:p>
    <w:p w14:paraId="68582927">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区域特色骨干大学是我国高等教育体系的重要组成部分，已经成为行业发展的开拓者和主力军、高等教育改革发展的推动者和示范区。这些高校长期依托于行业，通过产教协同输送了大批优秀行业人才，取得了众多领先科技成果，是推动行业发展的重要力量。</w:t>
      </w:r>
    </w:p>
    <w:p w14:paraId="19009062">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2015年河南省高校分类发展以来，对“双一流”建设高校、应用技术类型高校、高等职业院校均有较明确的政策、资金方面的支持，而对特色骨干高校至今没有出台专门的政策措施和稳定的财政资金支持方案。尤其在国家的相关评估结果当中，过分强调综合性排名和单一评价，行业特色高校特色优势得不到体现，总是很难与综合性大学相提并论。这主要是由于相关评估指标显著不利于行业特色高校，也使得行业特色高校的发展更加困难，行业发展难以持续。</w:t>
      </w:r>
    </w:p>
    <w:p w14:paraId="5FD19C21">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现有评价指标体系多偏重学术性，忽略应用性。尤其是其中科研所占比重过大，包括论文检索数量、论文被引用次数、科研项目数量与经费、国家科学技术奖等获奖次数，较为重视科研成果产出，相对弱化了行业应用与社会效益。这种对于科研的偏好，强化了当前大学趋同的趋势，使得原本适应不同社会需求的、不同类型的院校都在同质化，大学纵向上的差距被排行人为地膨胀了，同时也掩盖了高等学校横向上的差别。这种偏重科研成果产出而忽视教学质量、应用型人才培养的评价体系，对行业特色大学的发展产生重大影响：如盲目追求SCI论文、纵向课题、学科学位点数量等的学术价值观，正在引导不少教师远离实践教学、远离行业需求，导致不少行业特色高校难以涌现高端创新人才，科技成果转化为现实生产力的效果不够显著，也使得行业科技创新能力和竞争力严重受限。由此可见，现行评价指标体系严重不利于行业特色高校的特色发展和合理竞争。</w:t>
      </w:r>
    </w:p>
    <w:p w14:paraId="444F2B3D">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迫切需要通过建立科学合理的评价指标体系，从特色办学理念、特色学科专业、特色师资队伍、特色人才培养模式、特色型大学文化等不同维度去考察、评价行业特色型大学的独特性、创新性和办学效益，特别要重视对特色优势学科、科研成果转化率、学生实践创新能力、行业内学生就业率等的考核，客观评估特色骨干大学的贡献，争取各个方面对学校的支持，推动特色骨干大学的特色化发展。</w:t>
      </w:r>
    </w:p>
    <w:p w14:paraId="258660F2">
      <w:pPr>
        <w:pStyle w:val="6"/>
        <w:spacing w:line="360" w:lineRule="auto"/>
        <w:outlineLvl w:val="0"/>
        <w:rPr>
          <w:rFonts w:hint="eastAsia" w:ascii="黑体" w:hAnsi="黑体" w:eastAsia="黑体" w:cs="黑体"/>
          <w:bCs/>
          <w:sz w:val="28"/>
          <w:szCs w:val="28"/>
          <w:lang w:val="en-US" w:eastAsia="zh-CN"/>
        </w:rPr>
      </w:pPr>
      <w:bookmarkStart w:id="104" w:name="_Toc12802"/>
      <w:r>
        <w:rPr>
          <w:rFonts w:hint="eastAsia" w:ascii="黑体" w:hAnsi="黑体" w:eastAsia="黑体" w:cs="黑体"/>
          <w:bCs/>
          <w:sz w:val="28"/>
          <w:szCs w:val="28"/>
          <w:lang w:val="en-US" w:eastAsia="zh-CN"/>
        </w:rPr>
        <w:t>7.推动区域特色骨干大学产教深度融合的政策建议</w:t>
      </w:r>
      <w:bookmarkEnd w:id="104"/>
    </w:p>
    <w:p w14:paraId="19F9F8C7">
      <w:pPr>
        <w:pStyle w:val="6"/>
        <w:spacing w:line="360" w:lineRule="auto"/>
        <w:outlineLvl w:val="1"/>
        <w:rPr>
          <w:rFonts w:hint="eastAsia" w:ascii="宋体" w:hAnsi="宋体" w:eastAsia="宋体" w:cs="宋体"/>
          <w:b/>
          <w:bCs w:val="0"/>
          <w:sz w:val="24"/>
          <w:szCs w:val="24"/>
          <w:lang w:val="en-US" w:eastAsia="zh-CN"/>
        </w:rPr>
      </w:pPr>
      <w:bookmarkStart w:id="105" w:name="_Toc22675"/>
      <w:r>
        <w:rPr>
          <w:rFonts w:hint="eastAsia" w:hAnsi="宋体" w:eastAsia="宋体" w:cs="宋体"/>
          <w:b/>
          <w:bCs w:val="0"/>
          <w:sz w:val="24"/>
          <w:szCs w:val="24"/>
          <w:lang w:val="en-US" w:eastAsia="zh-CN"/>
        </w:rPr>
        <w:t>7</w:t>
      </w:r>
      <w:r>
        <w:rPr>
          <w:rFonts w:hint="eastAsia" w:ascii="宋体" w:hAnsi="宋体" w:eastAsia="宋体" w:cs="宋体"/>
          <w:b/>
          <w:bCs w:val="0"/>
          <w:sz w:val="24"/>
          <w:szCs w:val="24"/>
          <w:lang w:val="en-US" w:eastAsia="zh-CN"/>
        </w:rPr>
        <w:t>.1构建区域特色骨干大学合理评价体系</w:t>
      </w:r>
      <w:bookmarkEnd w:id="105"/>
    </w:p>
    <w:p w14:paraId="62AE4F47">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近些年，教育行政部门制定的各类评估指标体系多以整齐划一的标准应用于诸多高校，过于强调“标准”而淡化“特色”。如2002年前进行的优秀评估、合格评估、随机评估是根据办学历史长短对高等学校进行“人为”的划分，难以反映高校的实际办学水平。2002年后进行的本科教学工作水平评估其评估标准没有体现多样性和层次性。由于评估标准的僵化和弹性不足，使得许多原本特色鲜明的行业特色型大学为达到“标准”而追求一致，也纷纷扩大招生规模、设立新专业、成立新学院，向综合性方向发展，导致这类学校的特色发展道路逐渐模糊，多年来形成的办学传统与办学特色逐渐丧失。单一通用的评价指标一定程度上影响了高等教育的多样化、个性化发展。 直面制造业大而不强、关键核心和共性技术对外依赖性高等诸多挑战，科学合理地构建行业特色高校评价体系，不仅有助于提升行业高校治理体系和治理能力现代化，而且能够推动所属行业的快速发展，实现高校与行业的良性互动、协同提高。</w:t>
      </w:r>
    </w:p>
    <w:p w14:paraId="7A96BC74">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按照分类发展的原则，需要根据高校的不同类型、不同层次进行分类评价评估，更需要构建一套适用于行业特色高校的评价指标体系，促进高校个性化定位、合理配置资源，助推新时代中国高等教育多元化发展。</w:t>
      </w:r>
    </w:p>
    <w:p w14:paraId="64A7F36A">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在我国高校传统评价指标中，缺乏高校与产业合作强度和合作绩效的评价指标，应当结合办学定位特色，全面构建人才培养、科技创新、产教融合协同发展的评价体系，引导行业高校快速调整学科专业设置和教学内容、科研方向，扭转定位趋同、办学特色模糊、人才培养同质化等趋势，使之找准定位，发挥特色，集中优势资源，在各自领域争创一流。</w:t>
      </w:r>
    </w:p>
    <w:p w14:paraId="5BC38A8A">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评估指标体系是高校发展的指挥棒。本着服务大局、服务高校、服务社会的评估目的，特色骨干大学的评估指标必须基于行业特色的最终发展目标。因此，与综合型大学的评价方式不同，特色骨干大学应以学科建设是否既专且精、行业服务是否效果卓著、行业交流是否密切的评估原则开展。因此，构建区域特色骨干大学合理评价体系，要基于行业特色，应向质性评判转变，向多元评估标准转变，向周期性与常态性评估结合转变和向发展性评估转变。</w:t>
      </w:r>
    </w:p>
    <w:p w14:paraId="58B83533">
      <w:pPr>
        <w:pStyle w:val="6"/>
        <w:spacing w:line="360" w:lineRule="auto"/>
        <w:outlineLvl w:val="1"/>
        <w:rPr>
          <w:rFonts w:hint="eastAsia" w:ascii="宋体" w:hAnsi="宋体" w:eastAsia="宋体" w:cs="宋体"/>
          <w:b/>
          <w:bCs w:val="0"/>
          <w:sz w:val="24"/>
          <w:szCs w:val="24"/>
          <w:lang w:val="en-US" w:eastAsia="zh-CN"/>
        </w:rPr>
      </w:pPr>
      <w:bookmarkStart w:id="106" w:name="_Toc27954"/>
      <w:r>
        <w:rPr>
          <w:rFonts w:hint="eastAsia" w:hAnsi="宋体" w:eastAsia="宋体" w:cs="宋体"/>
          <w:b/>
          <w:bCs w:val="0"/>
          <w:sz w:val="24"/>
          <w:szCs w:val="24"/>
          <w:lang w:val="en-US" w:eastAsia="zh-CN"/>
        </w:rPr>
        <w:t>7</w:t>
      </w:r>
      <w:r>
        <w:rPr>
          <w:rFonts w:hint="eastAsia" w:ascii="宋体" w:hAnsi="宋体" w:eastAsia="宋体" w:cs="宋体"/>
          <w:b/>
          <w:bCs w:val="0"/>
          <w:sz w:val="24"/>
          <w:szCs w:val="24"/>
          <w:lang w:val="en-US" w:eastAsia="zh-CN"/>
        </w:rPr>
        <w:t>.2注重发挥政府的引导支持作用</w:t>
      </w:r>
      <w:bookmarkEnd w:id="106"/>
    </w:p>
    <w:p w14:paraId="6749F5AD">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在推进产教融合进程中，需要进一步发挥政府的引导支持，创新产教融合服务保障体系。首先，加大产教融合经费投入。产教融合是一项复杂的系统工程，需要政府、高校、企业、研究机构等各相关主体的协同努力。通过政府投入力度的引导，带动企业、社会的多元化投入，引入和吸引多渠道资本，推动产教融合战略的实施和目标的实现。第二，在产教融合优势领域设立专项基金。通过第三方机构评估，以企业需求和产业化为导向，组织遴选、挖掘、发现符合区域重大急需，具有市场前沿和重要价值的高技术产教融合项目予以重点培育和稳定支持，政府主动分担创新成本和风险，培育创新主体和市场，建立产教融合资源优化配置新机制。第三，组建区域性专业技术转移服务机构。由专业团队负责科技成果转化咨询和服务，打造科技中介服务网络平台，形成多样化的技术转移对接渠道，架构科技成果和产业需求沟通联动桥梁，加快区域产教融合和成果转化，进一步完善科技创新体系建设。</w:t>
      </w:r>
    </w:p>
    <w:p w14:paraId="7C4408E4">
      <w:pPr>
        <w:pStyle w:val="6"/>
        <w:spacing w:line="360" w:lineRule="auto"/>
        <w:outlineLvl w:val="1"/>
        <w:rPr>
          <w:rFonts w:hint="eastAsia" w:ascii="宋体" w:hAnsi="宋体" w:eastAsia="宋体" w:cs="宋体"/>
          <w:b/>
          <w:bCs w:val="0"/>
          <w:sz w:val="24"/>
          <w:szCs w:val="24"/>
          <w:lang w:val="en-US" w:eastAsia="zh-CN"/>
        </w:rPr>
      </w:pPr>
      <w:bookmarkStart w:id="107" w:name="_Toc12756"/>
      <w:r>
        <w:rPr>
          <w:rFonts w:hint="eastAsia" w:hAnsi="宋体" w:eastAsia="宋体" w:cs="宋体"/>
          <w:b/>
          <w:bCs w:val="0"/>
          <w:sz w:val="24"/>
          <w:szCs w:val="24"/>
          <w:lang w:val="en-US" w:eastAsia="zh-CN"/>
        </w:rPr>
        <w:t>7</w:t>
      </w:r>
      <w:r>
        <w:rPr>
          <w:rFonts w:hint="eastAsia" w:ascii="宋体" w:hAnsi="宋体" w:eastAsia="宋体" w:cs="宋体"/>
          <w:b/>
          <w:bCs w:val="0"/>
          <w:sz w:val="24"/>
          <w:szCs w:val="24"/>
          <w:lang w:val="en-US" w:eastAsia="zh-CN"/>
        </w:rPr>
        <w:t>.3注重发挥高等学校的关键引领作用</w:t>
      </w:r>
      <w:bookmarkEnd w:id="107"/>
    </w:p>
    <w:p w14:paraId="636D88C1">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高等学校拥有多学科优势、丰富的人才资源，是推动产教融合高质量发展的中坚力量和关键节点。德国不莱梅大学之所以能够在短短的30多年成为德国精英大学，甚至在全球范围形成一定影响，关键在于其能够认识自身优势，以长远眼光储备人才配置资源，主动适应社会经济发展的需要，适时进行变革，积极融入创新体系，社会效益、经济效益、生态效益同时注重，在满足企业、行业、产业需求的过程中，实现了自身的快速崛起，社会经济发展步入良性循环轨道。</w:t>
      </w:r>
    </w:p>
    <w:p w14:paraId="5FB91185">
      <w:pPr>
        <w:pStyle w:val="6"/>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高校在产教融合中的主体定位应是：引领者、依托者、推动者和服务者，即：发挥科技优势，成为产教融合的引领者；发挥人才优势，成为产教融合的依托者；改革体制机制，成为产教融合的推动者；主动服务社会经济发展，成为产教融合的服务者。</w:t>
      </w:r>
    </w:p>
    <w:p w14:paraId="5E2264DB">
      <w:pPr>
        <w:pStyle w:val="6"/>
        <w:spacing w:line="360" w:lineRule="auto"/>
        <w:ind w:firstLine="480" w:firstLineChars="200"/>
        <w:rPr>
          <w:rFonts w:hint="eastAsia" w:ascii="宋体" w:hAnsi="宋体" w:eastAsia="宋体" w:cs="宋体"/>
          <w:sz w:val="24"/>
          <w:szCs w:val="24"/>
        </w:rPr>
      </w:pPr>
      <w:r>
        <w:rPr>
          <w:rFonts w:hint="eastAsia" w:ascii="宋体" w:hAnsi="宋体" w:eastAsia="宋体" w:cs="宋体"/>
          <w:bCs/>
          <w:sz w:val="24"/>
          <w:szCs w:val="24"/>
          <w:lang w:val="en-US" w:eastAsia="zh-CN"/>
        </w:rPr>
        <w:t>具体启示有：一是重视发挥学科、科研、专业和人才优势。面向社会经济主战场，主动适应市场需求，组织科技团队，进行科研攻关，适时调整专业设置，满足行业、产业和企业需要；二是重视产教融合组织管理机构的建设。科技是第一生产力，但是，把它转化为现实生产力需要管理的科学化。产教融合过程是复杂的系统过程，组织管理机构的完善程度和效率直接关系到创新的效果，其中一个很小的细节都会影响其成败；三是重视理论与实践的结合。不仅要加强高校培养人才的实践应用能力，而且要加强企业与高校人员角色的互派互访与互动交流；四是重视产教融合合作网络的建设。合作网络的建设有助于信息交流与共享，也有助于创新圈层之间的密切联系。不仅包括协同体内部各单位的合作网络，还要包括横向的区域性、全球性合作网络和纵向的行业、产业合作网络。</w:t>
      </w:r>
    </w:p>
    <w:p w14:paraId="1DD80BA0">
      <w:pPr>
        <w:pStyle w:val="6"/>
        <w:spacing w:line="360" w:lineRule="auto"/>
        <w:outlineLvl w:val="1"/>
        <w:rPr>
          <w:rFonts w:hint="eastAsia" w:ascii="宋体" w:hAnsi="宋体" w:eastAsia="宋体" w:cs="宋体"/>
          <w:b/>
          <w:bCs w:val="0"/>
          <w:sz w:val="24"/>
          <w:szCs w:val="24"/>
          <w:lang w:val="en-US" w:eastAsia="zh-CN"/>
        </w:rPr>
      </w:pPr>
      <w:bookmarkStart w:id="108" w:name="_Toc18976"/>
      <w:r>
        <w:rPr>
          <w:rFonts w:hint="eastAsia" w:hAnsi="宋体" w:eastAsia="宋体" w:cs="宋体"/>
          <w:b/>
          <w:bCs w:val="0"/>
          <w:sz w:val="24"/>
          <w:szCs w:val="24"/>
          <w:lang w:val="en-US" w:eastAsia="zh-CN"/>
        </w:rPr>
        <w:t>7</w:t>
      </w:r>
      <w:r>
        <w:rPr>
          <w:rFonts w:hint="eastAsia" w:ascii="宋体" w:hAnsi="宋体" w:eastAsia="宋体" w:cs="宋体"/>
          <w:b/>
          <w:bCs w:val="0"/>
          <w:sz w:val="24"/>
          <w:szCs w:val="24"/>
          <w:lang w:val="en-US" w:eastAsia="zh-CN"/>
        </w:rPr>
        <w:t>.4注重产教融合的运行机制创新</w:t>
      </w:r>
      <w:bookmarkEnd w:id="108"/>
    </w:p>
    <w:p w14:paraId="796C5DEE">
      <w:pPr>
        <w:pStyle w:val="6"/>
        <w:spacing w:line="360" w:lineRule="auto"/>
        <w:ind w:firstLine="480" w:firstLineChars="200"/>
        <w:rPr>
          <w:rFonts w:hint="eastAsia" w:ascii="宋体" w:hAnsi="宋体" w:eastAsia="宋体" w:cs="宋体"/>
          <w:sz w:val="24"/>
          <w:szCs w:val="24"/>
        </w:rPr>
      </w:pPr>
      <w:r>
        <w:rPr>
          <w:rFonts w:hint="eastAsia" w:ascii="宋体" w:hAnsi="宋体" w:eastAsia="宋体" w:cs="宋体"/>
          <w:bCs/>
          <w:sz w:val="24"/>
          <w:szCs w:val="24"/>
          <w:lang w:val="en-US" w:eastAsia="zh-CN"/>
        </w:rPr>
        <w:t>一是建立产教融合的激励约束机制。要保证产教融合的高效性，真正解决产教融合过程中出现的如利益分配、资源匹配和道德风险等问题，就必须建立制度化的激励约束机制，以文件或者合同形式明确各方责任权利和义务，实行目标绩效管理，对于各个主体的贡献予以表彰奖励或者惩处，要确保奖惩不能因人而异因时而异。具体而言，就是要实现参与单位、各科研团队和管理团队以及所有参与的个体公平公正地得到应有利益，从而真正调动各方积极性、主动性和创造性。二是建立产教融合的沟通协调机制。由于产教融合涉及不同的领域，分属不同的系统，有着不同的创新特点和价值追求，导致协同单位之间、学科之间、部门之间、研究团队之间甚至人员之间不能有效沟通，资源不能实现共享，创新成果不能有效转化，需要建立不同层次的高效信息交流互动的渠道与平台，通过研讨会、通气会、座谈会等形式，定期通报信息，真正解决由于信息不对称带来的逆向选择与道德风险问题，实现产前产中和产后各链条的衔接与互补。</w:t>
      </w:r>
    </w:p>
    <w:p w14:paraId="259851ED">
      <w:pPr>
        <w:pStyle w:val="6"/>
        <w:spacing w:line="360" w:lineRule="auto"/>
        <w:outlineLvl w:val="0"/>
        <w:rPr>
          <w:rFonts w:hint="default" w:ascii="黑体" w:hAnsi="黑体" w:eastAsia="黑体" w:cs="黑体"/>
          <w:bCs/>
          <w:sz w:val="28"/>
          <w:szCs w:val="28"/>
          <w:lang w:val="en-US" w:eastAsia="zh-CN"/>
        </w:rPr>
      </w:pPr>
      <w:bookmarkStart w:id="109" w:name="_Toc17816"/>
      <w:r>
        <w:rPr>
          <w:rFonts w:hint="eastAsia" w:ascii="黑体" w:hAnsi="黑体" w:eastAsia="黑体" w:cs="黑体"/>
          <w:bCs/>
          <w:sz w:val="28"/>
          <w:szCs w:val="28"/>
          <w:lang w:val="en-US" w:eastAsia="zh-CN"/>
        </w:rPr>
        <w:t>8.结语</w:t>
      </w:r>
      <w:bookmarkEnd w:id="109"/>
    </w:p>
    <w:p w14:paraId="7FA6C9ED">
      <w:pPr>
        <w:spacing w:line="360" w:lineRule="auto"/>
        <w:ind w:firstLine="480" w:firstLineChars="200"/>
        <w:rPr>
          <w:rFonts w:hint="eastAsia" w:asciiTheme="minorEastAsia" w:hAnsiTheme="minorEastAsia"/>
          <w:bCs/>
          <w:sz w:val="24"/>
          <w:szCs w:val="24"/>
          <w:lang w:val="en-US" w:eastAsia="zh-CN"/>
        </w:rPr>
      </w:pPr>
      <w:r>
        <w:rPr>
          <w:rFonts w:hint="eastAsia" w:ascii="宋体" w:hAnsi="宋体" w:eastAsia="宋体" w:cs="宋体"/>
          <w:sz w:val="24"/>
          <w:szCs w:val="24"/>
        </w:rPr>
        <w:t>构建科学合理的评价体系，引导</w:t>
      </w:r>
      <w:r>
        <w:rPr>
          <w:rFonts w:hint="eastAsia" w:ascii="宋体" w:hAnsi="宋体" w:eastAsia="宋体" w:cs="宋体"/>
          <w:sz w:val="24"/>
          <w:szCs w:val="24"/>
          <w:lang w:val="en-US" w:eastAsia="zh-CN"/>
        </w:rPr>
        <w:t>特色骨干大学</w:t>
      </w:r>
      <w:r>
        <w:rPr>
          <w:rFonts w:hint="eastAsia" w:ascii="宋体" w:hAnsi="宋体" w:eastAsia="宋体" w:cs="宋体"/>
          <w:sz w:val="24"/>
          <w:szCs w:val="24"/>
        </w:rPr>
        <w:t>进一步明确办学和定位发展战略，以全面改革为引领，聚焦优势特色学科建设，坚持有所为有所不为，坚持突出学科优势和行业特色，</w:t>
      </w:r>
      <w:r>
        <w:rPr>
          <w:rFonts w:hint="eastAsia" w:ascii="宋体" w:hAnsi="宋体" w:eastAsia="宋体" w:cs="宋体"/>
          <w:sz w:val="24"/>
          <w:szCs w:val="24"/>
          <w:lang w:val="en-US" w:eastAsia="zh-CN"/>
        </w:rPr>
        <w:t>深度融入行业产业，</w:t>
      </w:r>
      <w:r>
        <w:rPr>
          <w:rFonts w:hint="eastAsia" w:ascii="宋体" w:hAnsi="宋体" w:eastAsia="宋体" w:cs="宋体"/>
          <w:sz w:val="24"/>
          <w:szCs w:val="24"/>
        </w:rPr>
        <w:t>集中力量把优势做大、特色做强，</w:t>
      </w:r>
      <w:r>
        <w:rPr>
          <w:rFonts w:hint="eastAsia" w:ascii="宋体" w:hAnsi="宋体" w:eastAsia="宋体" w:cs="宋体"/>
          <w:sz w:val="24"/>
          <w:szCs w:val="24"/>
          <w:lang w:val="en-US" w:eastAsia="zh-CN"/>
        </w:rPr>
        <w:t>形成</w:t>
      </w:r>
      <w:r>
        <w:rPr>
          <w:rFonts w:hint="eastAsia" w:ascii="宋体" w:hAnsi="宋体" w:eastAsia="宋体" w:cs="宋体"/>
          <w:sz w:val="24"/>
          <w:szCs w:val="24"/>
        </w:rPr>
        <w:t>核心竞争力，为经济社会发展和行业产业发展产出更多成果，赢得社会的广泛认同以及在行业领域的稳固地位，实现“顶天”与“立地”的完美结合。</w:t>
      </w:r>
    </w:p>
    <w:p w14:paraId="0ECDAEE1">
      <w:pPr>
        <w:rPr>
          <w:rFonts w:hint="eastAsia" w:ascii="仿宋_GB2312" w:hAnsi="宋体" w:eastAsia="仿宋_GB2312"/>
          <w:b/>
          <w:sz w:val="21"/>
          <w:szCs w:val="21"/>
        </w:rPr>
      </w:pPr>
      <w:bookmarkStart w:id="110" w:name="_Toc24906"/>
      <w:r>
        <w:rPr>
          <w:rFonts w:hint="eastAsia" w:ascii="仿宋_GB2312" w:hAnsi="宋体" w:eastAsia="仿宋_GB2312"/>
          <w:b/>
          <w:sz w:val="21"/>
          <w:szCs w:val="21"/>
        </w:rPr>
        <w:br w:type="page"/>
      </w:r>
    </w:p>
    <w:p w14:paraId="0D142E55">
      <w:pPr>
        <w:spacing w:line="360" w:lineRule="auto"/>
        <w:outlineLvl w:val="0"/>
        <w:rPr>
          <w:rFonts w:hint="eastAsia" w:ascii="仿宋_GB2312" w:hAnsi="宋体" w:eastAsia="仿宋_GB2312"/>
          <w:b/>
          <w:sz w:val="24"/>
          <w:szCs w:val="24"/>
        </w:rPr>
      </w:pPr>
      <w:r>
        <w:rPr>
          <w:rFonts w:hint="eastAsia" w:ascii="仿宋_GB2312" w:hAnsi="宋体" w:eastAsia="仿宋_GB2312"/>
          <w:b/>
          <w:sz w:val="24"/>
          <w:szCs w:val="24"/>
        </w:rPr>
        <w:t>参考文献：</w:t>
      </w:r>
      <w:bookmarkEnd w:id="110"/>
    </w:p>
    <w:p w14:paraId="43AC79A6">
      <w:pPr>
        <w:spacing w:line="360" w:lineRule="auto"/>
        <w:rPr>
          <w:rFonts w:hint="default" w:ascii="仿宋_GB2312" w:hAnsi="宋体" w:eastAsia="仿宋_GB2312"/>
          <w:sz w:val="24"/>
          <w:szCs w:val="24"/>
          <w:lang w:val="en-US" w:eastAsia="zh-CN"/>
        </w:rPr>
      </w:pPr>
      <w:r>
        <w:rPr>
          <w:rFonts w:hint="eastAsia" w:ascii="仿宋_GB2312" w:hAnsi="宋体" w:eastAsia="仿宋_GB2312"/>
          <w:sz w:val="24"/>
          <w:szCs w:val="24"/>
        </w:rPr>
        <w:t>[1]孙云飞</w:t>
      </w:r>
      <w:r>
        <w:rPr>
          <w:rFonts w:hint="eastAsia" w:ascii="仿宋_GB2312" w:hAnsi="宋体" w:eastAsia="仿宋_GB2312"/>
          <w:sz w:val="24"/>
          <w:szCs w:val="24"/>
          <w:lang w:val="en-US" w:eastAsia="zh-CN"/>
        </w:rPr>
        <w:t>,</w:t>
      </w:r>
      <w:r>
        <w:rPr>
          <w:rFonts w:hint="eastAsia" w:ascii="仿宋_GB2312" w:hAnsi="宋体" w:eastAsia="仿宋_GB2312"/>
          <w:sz w:val="24"/>
          <w:szCs w:val="24"/>
        </w:rPr>
        <w:t>张兄武</w:t>
      </w:r>
      <w:r>
        <w:rPr>
          <w:rFonts w:hint="eastAsia" w:ascii="仿宋_GB2312" w:hAnsi="宋体" w:eastAsia="仿宋_GB2312"/>
          <w:sz w:val="24"/>
          <w:szCs w:val="24"/>
          <w:lang w:val="en-US" w:eastAsia="zh-CN"/>
        </w:rPr>
        <w:t>,</w:t>
      </w:r>
      <w:r>
        <w:rPr>
          <w:rFonts w:hint="eastAsia" w:ascii="仿宋_GB2312" w:hAnsi="宋体" w:eastAsia="仿宋_GB2312"/>
          <w:sz w:val="24"/>
          <w:szCs w:val="24"/>
        </w:rPr>
        <w:t>付保川</w:t>
      </w:r>
      <w:r>
        <w:rPr>
          <w:rFonts w:hint="eastAsia" w:ascii="仿宋_GB2312" w:hAnsi="宋体" w:eastAsia="仿宋_GB2312"/>
          <w:sz w:val="24"/>
          <w:szCs w:val="24"/>
          <w:lang w:val="en-US" w:eastAsia="zh-CN"/>
        </w:rPr>
        <w:t>.地方高校“产教融合”动力机制的构建研究</w:t>
      </w:r>
      <w:r>
        <w:rPr>
          <w:rFonts w:hint="eastAsia" w:ascii="仿宋_GB2312" w:hAnsi="宋体" w:eastAsia="仿宋_GB2312"/>
          <w:sz w:val="24"/>
          <w:szCs w:val="24"/>
        </w:rPr>
        <w:t>[J].</w:t>
      </w:r>
      <w:r>
        <w:rPr>
          <w:rFonts w:hint="eastAsia" w:ascii="仿宋_GB2312" w:hAnsi="宋体" w:eastAsia="仿宋_GB2312"/>
          <w:sz w:val="24"/>
          <w:szCs w:val="24"/>
          <w:lang w:val="en-US" w:eastAsia="zh-CN"/>
        </w:rPr>
        <w:t>教育探索2021(1):39-43</w:t>
      </w:r>
    </w:p>
    <w:p w14:paraId="01BB75DB">
      <w:pPr>
        <w:spacing w:line="360" w:lineRule="auto"/>
        <w:rPr>
          <w:rFonts w:hint="eastAsia" w:ascii="仿宋_GB2312" w:hAnsi="宋体" w:eastAsia="仿宋_GB2312"/>
          <w:sz w:val="24"/>
          <w:szCs w:val="24"/>
        </w:rPr>
      </w:pPr>
      <w:r>
        <w:rPr>
          <w:rFonts w:hint="eastAsia" w:ascii="仿宋_GB2312" w:hAnsi="宋体" w:eastAsia="仿宋_GB2312"/>
          <w:sz w:val="24"/>
          <w:szCs w:val="24"/>
        </w:rPr>
        <w:t>[2]谢笑珍.“产教融合”机理及其机制设计路径研究[J].高等工程教育研究，2019（5）:81-87.</w:t>
      </w:r>
    </w:p>
    <w:p w14:paraId="0CDEDD88">
      <w:pPr>
        <w:spacing w:line="360" w:lineRule="auto"/>
        <w:rPr>
          <w:rFonts w:hint="eastAsia" w:ascii="仿宋_GB2312" w:hAnsi="宋体" w:eastAsia="仿宋_GB2312"/>
          <w:sz w:val="24"/>
          <w:szCs w:val="24"/>
        </w:rPr>
      </w:pPr>
      <w:r>
        <w:rPr>
          <w:rFonts w:hint="eastAsia" w:ascii="仿宋_GB2312" w:hAnsi="宋体" w:eastAsia="仿宋_GB2312"/>
          <w:sz w:val="24"/>
          <w:szCs w:val="24"/>
        </w:rPr>
        <w:t>[</w:t>
      </w:r>
      <w:r>
        <w:rPr>
          <w:rFonts w:hint="eastAsia" w:ascii="仿宋_GB2312" w:hAnsi="宋体" w:eastAsia="仿宋_GB2312"/>
          <w:sz w:val="24"/>
          <w:szCs w:val="24"/>
          <w:lang w:val="en-US" w:eastAsia="zh-CN"/>
        </w:rPr>
        <w:t>3</w:t>
      </w:r>
      <w:r>
        <w:rPr>
          <w:rFonts w:hint="eastAsia" w:ascii="仿宋_GB2312" w:hAnsi="宋体" w:eastAsia="仿宋_GB2312"/>
          <w:sz w:val="24"/>
          <w:szCs w:val="24"/>
        </w:rPr>
        <w:t>]邓俊锋.</w:t>
      </w:r>
      <w:r>
        <w:rPr>
          <w:rFonts w:hint="eastAsia" w:ascii="仿宋_GB2312" w:hAnsi="宋体" w:eastAsia="仿宋_GB2312"/>
          <w:sz w:val="24"/>
          <w:szCs w:val="24"/>
          <w:lang w:eastAsia="zh-CN"/>
        </w:rPr>
        <w:t>产教融合</w:t>
      </w:r>
      <w:r>
        <w:rPr>
          <w:rFonts w:hint="eastAsia" w:ascii="仿宋_GB2312" w:hAnsi="宋体" w:eastAsia="仿宋_GB2312"/>
          <w:sz w:val="24"/>
          <w:szCs w:val="24"/>
        </w:rPr>
        <w:t>的不莱梅模式[J].中国高校科技，2016</w:t>
      </w:r>
      <w:r>
        <w:rPr>
          <w:rFonts w:hint="eastAsia" w:ascii="仿宋_GB2312" w:hAnsi="宋体" w:eastAsia="仿宋_GB2312"/>
          <w:sz w:val="24"/>
          <w:szCs w:val="24"/>
          <w:lang w:eastAsia="zh-CN"/>
        </w:rPr>
        <w:t>，</w:t>
      </w:r>
      <w:r>
        <w:rPr>
          <w:rFonts w:hint="eastAsia" w:ascii="仿宋_GB2312" w:hAnsi="宋体" w:eastAsia="仿宋_GB2312"/>
          <w:sz w:val="24"/>
          <w:szCs w:val="24"/>
        </w:rPr>
        <w:t>（4）</w:t>
      </w:r>
    </w:p>
    <w:p w14:paraId="4B51E69A">
      <w:pPr>
        <w:spacing w:line="360" w:lineRule="auto"/>
        <w:rPr>
          <w:rFonts w:hint="eastAsia" w:ascii="仿宋_GB2312" w:hAnsi="宋体" w:eastAsia="仿宋_GB2312" w:cs="Times New Roman"/>
          <w:sz w:val="24"/>
          <w:szCs w:val="24"/>
        </w:rPr>
      </w:pPr>
      <w:r>
        <w:rPr>
          <w:rFonts w:hint="eastAsia" w:ascii="仿宋_GB2312" w:hAnsi="宋体" w:eastAsia="仿宋_GB2312" w:cs="Times New Roman"/>
          <w:sz w:val="24"/>
          <w:szCs w:val="24"/>
        </w:rPr>
        <w:t>[</w:t>
      </w:r>
      <w:r>
        <w:rPr>
          <w:rFonts w:hint="eastAsia" w:ascii="仿宋_GB2312" w:hAnsi="宋体" w:eastAsia="仿宋_GB2312" w:cs="Times New Roman"/>
          <w:sz w:val="24"/>
          <w:szCs w:val="24"/>
          <w:lang w:val="en-US" w:eastAsia="zh-CN"/>
        </w:rPr>
        <w:t>4</w:t>
      </w:r>
      <w:r>
        <w:rPr>
          <w:rFonts w:hint="eastAsia" w:ascii="仿宋_GB2312" w:hAnsi="宋体" w:eastAsia="仿宋_GB2312" w:cs="Times New Roman"/>
          <w:sz w:val="24"/>
          <w:szCs w:val="24"/>
        </w:rPr>
        <w:t>]罗春婵，孙红月</w:t>
      </w:r>
      <w:r>
        <w:rPr>
          <w:rFonts w:hint="eastAsia" w:ascii="仿宋_GB2312" w:hAnsi="宋体" w:eastAsia="仿宋_GB2312" w:cs="Times New Roman"/>
          <w:sz w:val="24"/>
          <w:szCs w:val="24"/>
          <w:lang w:val="en-US" w:eastAsia="zh-CN"/>
        </w:rPr>
        <w:t>.</w:t>
      </w:r>
      <w:r>
        <w:rPr>
          <w:rFonts w:hint="eastAsia" w:ascii="仿宋_GB2312" w:hAnsi="宋体" w:eastAsia="仿宋_GB2312" w:cs="Times New Roman"/>
          <w:sz w:val="24"/>
          <w:szCs w:val="24"/>
        </w:rPr>
        <w:t>经济高质量发展与高等教育产教融合模式创新[J].创新创业理论研究与实践</w:t>
      </w:r>
      <w:r>
        <w:rPr>
          <w:rFonts w:hint="eastAsia" w:ascii="仿宋_GB2312" w:hAnsi="宋体" w:eastAsia="仿宋_GB2312" w:cs="Times New Roman"/>
          <w:sz w:val="24"/>
          <w:szCs w:val="24"/>
          <w:lang w:eastAsia="zh-CN"/>
        </w:rPr>
        <w:t>，</w:t>
      </w:r>
      <w:r>
        <w:rPr>
          <w:rFonts w:hint="eastAsia" w:ascii="仿宋_GB2312" w:hAnsi="宋体" w:eastAsia="仿宋_GB2312" w:cs="Times New Roman"/>
          <w:sz w:val="24"/>
          <w:szCs w:val="24"/>
        </w:rPr>
        <w:t>2021</w:t>
      </w:r>
      <w:r>
        <w:rPr>
          <w:rFonts w:hint="eastAsia" w:ascii="仿宋_GB2312" w:hAnsi="宋体" w:eastAsia="仿宋_GB2312" w:cs="Times New Roman"/>
          <w:sz w:val="24"/>
          <w:szCs w:val="24"/>
          <w:lang w:eastAsia="zh-CN"/>
        </w:rPr>
        <w:t>，（</w:t>
      </w:r>
      <w:r>
        <w:rPr>
          <w:rFonts w:hint="eastAsia" w:ascii="仿宋_GB2312" w:hAnsi="宋体" w:eastAsia="仿宋_GB2312" w:cs="Times New Roman"/>
          <w:sz w:val="24"/>
          <w:szCs w:val="24"/>
        </w:rPr>
        <w:t>1</w:t>
      </w:r>
      <w:r>
        <w:rPr>
          <w:rFonts w:hint="eastAsia" w:ascii="仿宋_GB2312" w:hAnsi="宋体" w:eastAsia="仿宋_GB2312" w:cs="Times New Roman"/>
          <w:sz w:val="24"/>
          <w:szCs w:val="24"/>
          <w:lang w:eastAsia="zh-CN"/>
        </w:rPr>
        <w:t>）</w:t>
      </w:r>
    </w:p>
    <w:p w14:paraId="5B8D2ECB">
      <w:pPr>
        <w:spacing w:line="360" w:lineRule="auto"/>
        <w:rPr>
          <w:rFonts w:hint="eastAsia" w:ascii="仿宋_GB2312" w:hAnsi="宋体" w:eastAsia="仿宋_GB2312" w:cs="Times New Roman"/>
          <w:sz w:val="24"/>
          <w:szCs w:val="24"/>
        </w:rPr>
      </w:pPr>
      <w:r>
        <w:rPr>
          <w:rFonts w:hint="eastAsia" w:ascii="仿宋_GB2312" w:hAnsi="宋体" w:eastAsia="仿宋_GB2312" w:cs="Times New Roman"/>
          <w:sz w:val="24"/>
          <w:szCs w:val="24"/>
        </w:rPr>
        <w:t>[</w:t>
      </w:r>
      <w:r>
        <w:rPr>
          <w:rFonts w:hint="eastAsia" w:ascii="仿宋_GB2312" w:hAnsi="宋体" w:eastAsia="仿宋_GB2312" w:cs="Times New Roman"/>
          <w:sz w:val="24"/>
          <w:szCs w:val="24"/>
          <w:lang w:val="en-US" w:eastAsia="zh-CN"/>
        </w:rPr>
        <w:t>5</w:t>
      </w:r>
      <w:r>
        <w:rPr>
          <w:rFonts w:hint="eastAsia" w:ascii="仿宋_GB2312" w:hAnsi="宋体" w:eastAsia="仿宋_GB2312" w:cs="Times New Roman"/>
          <w:sz w:val="24"/>
          <w:szCs w:val="24"/>
        </w:rPr>
        <w:t>]</w:t>
      </w:r>
      <w:r>
        <w:rPr>
          <w:rFonts w:hint="default" w:ascii="仿宋_GB2312" w:hAnsi="宋体" w:eastAsia="仿宋_GB2312" w:cs="Times New Roman"/>
          <w:sz w:val="24"/>
          <w:szCs w:val="24"/>
          <w:lang w:val="en-US" w:eastAsia="zh-CN"/>
        </w:rPr>
        <w:t>钱福良.区域发展类</w:t>
      </w:r>
      <w:r>
        <w:rPr>
          <w:rFonts w:hint="eastAsia" w:ascii="仿宋_GB2312" w:hAnsi="宋体" w:eastAsia="仿宋_GB2312" w:cs="Times New Roman"/>
          <w:sz w:val="24"/>
          <w:szCs w:val="24"/>
          <w:lang w:val="en-US" w:eastAsia="zh-CN"/>
        </w:rPr>
        <w:t>产教融合</w:t>
      </w:r>
      <w:r>
        <w:rPr>
          <w:rFonts w:hint="default" w:ascii="仿宋_GB2312" w:hAnsi="宋体" w:eastAsia="仿宋_GB2312" w:cs="Times New Roman"/>
          <w:sz w:val="24"/>
          <w:szCs w:val="24"/>
          <w:lang w:val="en-US" w:eastAsia="zh-CN"/>
        </w:rPr>
        <w:t>中心培育组建的实践与思考[J]. 教育评论,2016,(06)</w:t>
      </w:r>
    </w:p>
    <w:p w14:paraId="3C1B5B69">
      <w:pPr>
        <w:spacing w:line="360" w:lineRule="auto"/>
        <w:rPr>
          <w:rFonts w:hint="default" w:ascii="仿宋_GB2312" w:hAnsi="宋体" w:eastAsia="仿宋_GB2312" w:cs="Times New Roman"/>
          <w:sz w:val="24"/>
          <w:szCs w:val="24"/>
          <w:lang w:val="en-US" w:eastAsia="zh-CN"/>
        </w:rPr>
      </w:pPr>
      <w:r>
        <w:rPr>
          <w:rFonts w:hint="eastAsia" w:ascii="仿宋_GB2312" w:hAnsi="宋体" w:eastAsia="仿宋_GB2312" w:cs="Times New Roman"/>
          <w:sz w:val="24"/>
          <w:szCs w:val="24"/>
        </w:rPr>
        <w:t>[</w:t>
      </w:r>
      <w:r>
        <w:rPr>
          <w:rFonts w:hint="eastAsia" w:ascii="仿宋_GB2312" w:hAnsi="宋体" w:eastAsia="仿宋_GB2312" w:cs="Times New Roman"/>
          <w:sz w:val="24"/>
          <w:szCs w:val="24"/>
          <w:lang w:val="en-US" w:eastAsia="zh-CN"/>
        </w:rPr>
        <w:t>6</w:t>
      </w:r>
      <w:r>
        <w:rPr>
          <w:rFonts w:hint="eastAsia" w:ascii="仿宋_GB2312" w:hAnsi="宋体" w:eastAsia="仿宋_GB2312" w:cs="Times New Roman"/>
          <w:sz w:val="24"/>
          <w:szCs w:val="24"/>
        </w:rPr>
        <w:t>]叶云霞</w:t>
      </w:r>
      <w:r>
        <w:rPr>
          <w:rFonts w:hint="eastAsia" w:ascii="仿宋_GB2312" w:hAnsi="宋体" w:eastAsia="仿宋_GB2312" w:cs="Times New Roman"/>
          <w:sz w:val="24"/>
          <w:szCs w:val="24"/>
          <w:lang w:val="en-US" w:eastAsia="zh-CN"/>
        </w:rPr>
        <w:t>.</w:t>
      </w:r>
      <w:r>
        <w:rPr>
          <w:rFonts w:hint="eastAsia" w:ascii="仿宋_GB2312" w:hAnsi="宋体" w:eastAsia="仿宋_GB2312" w:cs="Times New Roman"/>
          <w:sz w:val="24"/>
          <w:szCs w:val="24"/>
        </w:rPr>
        <w:t>产教融合发展的“基本金”与“创新链”分析</w:t>
      </w:r>
      <w:r>
        <w:rPr>
          <w:rFonts w:hint="default" w:ascii="仿宋_GB2312" w:hAnsi="宋体" w:eastAsia="仿宋_GB2312" w:cs="Times New Roman"/>
          <w:sz w:val="24"/>
          <w:szCs w:val="24"/>
          <w:lang w:val="en-US" w:eastAsia="zh-CN"/>
        </w:rPr>
        <w:t>[J].教育理论与实 践</w:t>
      </w:r>
      <w:r>
        <w:rPr>
          <w:rFonts w:hint="eastAsia" w:ascii="仿宋_GB2312" w:hAnsi="宋体" w:eastAsia="仿宋_GB2312" w:cs="Times New Roman"/>
          <w:sz w:val="24"/>
          <w:szCs w:val="24"/>
          <w:lang w:val="en-US" w:eastAsia="zh-CN"/>
        </w:rPr>
        <w:t>，</w:t>
      </w:r>
      <w:r>
        <w:rPr>
          <w:rFonts w:hint="default" w:ascii="仿宋_GB2312" w:hAnsi="宋体" w:eastAsia="仿宋_GB2312" w:cs="Times New Roman"/>
          <w:sz w:val="24"/>
          <w:szCs w:val="24"/>
          <w:lang w:val="en-US" w:eastAsia="zh-CN"/>
        </w:rPr>
        <w:t>20</w:t>
      </w:r>
      <w:r>
        <w:rPr>
          <w:rFonts w:hint="eastAsia" w:ascii="仿宋_GB2312" w:hAnsi="宋体" w:eastAsia="仿宋_GB2312" w:cs="Times New Roman"/>
          <w:sz w:val="24"/>
          <w:szCs w:val="24"/>
          <w:lang w:val="en-US" w:eastAsia="zh-CN"/>
        </w:rPr>
        <w:t>21</w:t>
      </w:r>
      <w:r>
        <w:rPr>
          <w:rFonts w:hint="default" w:ascii="仿宋_GB2312" w:hAnsi="宋体" w:eastAsia="仿宋_GB2312" w:cs="Times New Roman"/>
          <w:sz w:val="24"/>
          <w:szCs w:val="24"/>
          <w:lang w:val="en-US" w:eastAsia="zh-CN"/>
        </w:rPr>
        <w:t>,(06)</w:t>
      </w:r>
    </w:p>
    <w:p w14:paraId="64B39FC2">
      <w:pPr>
        <w:spacing w:line="360" w:lineRule="auto"/>
        <w:rPr>
          <w:rFonts w:hint="eastAsia" w:ascii="仿宋_GB2312" w:hAnsi="宋体" w:eastAsia="仿宋_GB2312" w:cs="Times New Roman"/>
          <w:sz w:val="24"/>
          <w:szCs w:val="24"/>
        </w:rPr>
      </w:pPr>
      <w:r>
        <w:rPr>
          <w:rFonts w:hint="eastAsia" w:ascii="仿宋_GB2312" w:hAnsi="宋体" w:eastAsia="仿宋_GB2312" w:cs="Times New Roman"/>
          <w:sz w:val="24"/>
          <w:szCs w:val="24"/>
        </w:rPr>
        <w:t>[</w:t>
      </w:r>
      <w:r>
        <w:rPr>
          <w:rFonts w:hint="eastAsia" w:ascii="仿宋_GB2312" w:hAnsi="宋体" w:eastAsia="仿宋_GB2312" w:cs="Times New Roman"/>
          <w:sz w:val="24"/>
          <w:szCs w:val="24"/>
          <w:lang w:val="en-US" w:eastAsia="zh-CN"/>
        </w:rPr>
        <w:t>7</w:t>
      </w:r>
      <w:r>
        <w:rPr>
          <w:rFonts w:hint="eastAsia" w:ascii="仿宋_GB2312" w:hAnsi="宋体" w:eastAsia="仿宋_GB2312" w:cs="Times New Roman"/>
          <w:sz w:val="24"/>
          <w:szCs w:val="24"/>
        </w:rPr>
        <w:t>]</w:t>
      </w:r>
      <w:r>
        <w:rPr>
          <w:rFonts w:hint="eastAsia" w:ascii="仿宋_GB2312" w:hAnsi="宋体" w:eastAsia="仿宋_GB2312" w:cs="Times New Roman"/>
          <w:sz w:val="24"/>
          <w:szCs w:val="24"/>
          <w:lang w:val="en-US" w:eastAsia="zh-CN"/>
        </w:rPr>
        <w:t>薛万新.德国产学研产教融合驱动机制及其对我国的启示</w:t>
      </w:r>
      <w:r>
        <w:rPr>
          <w:rFonts w:hint="default" w:ascii="仿宋_GB2312" w:hAnsi="宋体" w:eastAsia="仿宋_GB2312" w:cs="Times New Roman"/>
          <w:sz w:val="24"/>
          <w:szCs w:val="24"/>
          <w:lang w:val="en-US" w:eastAsia="zh-CN"/>
        </w:rPr>
        <w:t>[J].</w:t>
      </w:r>
      <w:r>
        <w:rPr>
          <w:rFonts w:hint="eastAsia" w:ascii="仿宋_GB2312" w:hAnsi="宋体" w:eastAsia="仿宋_GB2312" w:cs="Times New Roman"/>
          <w:sz w:val="24"/>
          <w:szCs w:val="24"/>
          <w:lang w:val="en-US" w:eastAsia="zh-CN"/>
        </w:rPr>
        <w:t xml:space="preserve"> 创新科技,2016,(01)</w:t>
      </w:r>
    </w:p>
    <w:sectPr>
      <w:footerReference r:id="rId4" w:type="default"/>
      <w:pgSz w:w="11906" w:h="16838"/>
      <w:pgMar w:top="1440" w:right="1800" w:bottom="1440" w:left="1800" w:header="851" w:footer="992" w:gutter="0"/>
      <w:pgNumType w:fmt="decimal" w:chapStyle="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方正舒体"/>
    <w:panose1 w:val="02010601030101010101"/>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AEFBF">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AF5896">
                          <w:pPr>
                            <w:pStyle w:val="7"/>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CAF5896">
                    <w:pPr>
                      <w:pStyle w:val="7"/>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w:t>
                    </w:r>
                    <w:r>
                      <w:rPr>
                        <w:rFonts w:hint="default" w:ascii="Times New Roman" w:hAnsi="Times New Roman" w:cs="Times New Roman"/>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D90D4">
    <w:pPr>
      <w:pStyle w:val="7"/>
      <w:jc w:val="righ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Fonts w:hint="default" w:ascii="Times New Roman" w:hAnsi="Times New Roman" w:cs="Times New Roman"/>
                              <w:sz w:val="24"/>
                              <w:szCs w:val="24"/>
                            </w:rPr>
                            <w:id w:val="1449426442"/>
                          </w:sdtPr>
                          <w:sdtEndPr>
                            <w:rPr>
                              <w:rFonts w:hint="default" w:ascii="Times New Roman" w:hAnsi="Times New Roman" w:cs="Times New Roman"/>
                              <w:sz w:val="24"/>
                              <w:szCs w:val="24"/>
                            </w:rPr>
                          </w:sdtEndPr>
                          <w:sdtContent>
                            <w:p w14:paraId="2F1EB23B">
                              <w:pPr>
                                <w:pStyle w:val="7"/>
                                <w:jc w:val="right"/>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PAGE   \* MERGEFORMAT</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zh-CN"/>
                                </w:rPr>
                                <w:t>2</w:t>
                              </w:r>
                              <w:r>
                                <w:rPr>
                                  <w:rFonts w:hint="default" w:ascii="Times New Roman" w:hAnsi="Times New Roman" w:cs="Times New Roman"/>
                                  <w:sz w:val="24"/>
                                  <w:szCs w:val="24"/>
                                </w:rPr>
                                <w:fldChar w:fldCharType="end"/>
                              </w:r>
                            </w:p>
                          </w:sdtContent>
                        </w:sdt>
                        <w:p w14:paraId="14DE049D">
                          <w:pPr>
                            <w:rPr>
                              <w:rFonts w:hint="default" w:ascii="Times New Roman" w:hAnsi="Times New Roman" w:cs="Times New Roman"/>
                              <w:sz w:val="24"/>
                              <w:szCs w:val="24"/>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sdt>
                    <w:sdtPr>
                      <w:rPr>
                        <w:rFonts w:hint="default" w:ascii="Times New Roman" w:hAnsi="Times New Roman" w:cs="Times New Roman"/>
                        <w:sz w:val="24"/>
                        <w:szCs w:val="24"/>
                      </w:rPr>
                      <w:id w:val="1449426442"/>
                    </w:sdtPr>
                    <w:sdtEndPr>
                      <w:rPr>
                        <w:rFonts w:hint="default" w:ascii="Times New Roman" w:hAnsi="Times New Roman" w:cs="Times New Roman"/>
                        <w:sz w:val="24"/>
                        <w:szCs w:val="24"/>
                      </w:rPr>
                    </w:sdtEndPr>
                    <w:sdtContent>
                      <w:p w14:paraId="2F1EB23B">
                        <w:pPr>
                          <w:pStyle w:val="7"/>
                          <w:jc w:val="right"/>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PAGE   \* MERGEFORMAT</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zh-CN"/>
                          </w:rPr>
                          <w:t>2</w:t>
                        </w:r>
                        <w:r>
                          <w:rPr>
                            <w:rFonts w:hint="default" w:ascii="Times New Roman" w:hAnsi="Times New Roman" w:cs="Times New Roman"/>
                            <w:sz w:val="24"/>
                            <w:szCs w:val="24"/>
                          </w:rPr>
                          <w:fldChar w:fldCharType="end"/>
                        </w:r>
                      </w:p>
                    </w:sdtContent>
                  </w:sdt>
                  <w:p w14:paraId="14DE049D">
                    <w:pPr>
                      <w:rPr>
                        <w:rFonts w:hint="default" w:ascii="Times New Roman" w:hAnsi="Times New Roman" w:cs="Times New Roman"/>
                        <w:sz w:val="24"/>
                        <w:szCs w:val="24"/>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kYTdmNjI4ZTQ4MzViNmJkYTg4MmU5MWE0MmQ2YzEifQ=="/>
  </w:docVars>
  <w:rsids>
    <w:rsidRoot w:val="00635032"/>
    <w:rsid w:val="000206F6"/>
    <w:rsid w:val="000654E5"/>
    <w:rsid w:val="00071E59"/>
    <w:rsid w:val="000D0A24"/>
    <w:rsid w:val="00135389"/>
    <w:rsid w:val="00164D9A"/>
    <w:rsid w:val="00171A9A"/>
    <w:rsid w:val="0018464A"/>
    <w:rsid w:val="001B26DC"/>
    <w:rsid w:val="00220988"/>
    <w:rsid w:val="002F5708"/>
    <w:rsid w:val="0032083A"/>
    <w:rsid w:val="00383EBE"/>
    <w:rsid w:val="003A0C4D"/>
    <w:rsid w:val="003B4924"/>
    <w:rsid w:val="003F0BC0"/>
    <w:rsid w:val="00410D63"/>
    <w:rsid w:val="0047126C"/>
    <w:rsid w:val="004B17A7"/>
    <w:rsid w:val="004B2C3A"/>
    <w:rsid w:val="004D1F28"/>
    <w:rsid w:val="00556B17"/>
    <w:rsid w:val="005D1D93"/>
    <w:rsid w:val="005D60AC"/>
    <w:rsid w:val="0061675A"/>
    <w:rsid w:val="00635032"/>
    <w:rsid w:val="00747B1D"/>
    <w:rsid w:val="007A40DF"/>
    <w:rsid w:val="00844FD2"/>
    <w:rsid w:val="00860A01"/>
    <w:rsid w:val="0089172A"/>
    <w:rsid w:val="008E1730"/>
    <w:rsid w:val="00931006"/>
    <w:rsid w:val="009516CA"/>
    <w:rsid w:val="009521F5"/>
    <w:rsid w:val="009528C3"/>
    <w:rsid w:val="009D3712"/>
    <w:rsid w:val="009E048F"/>
    <w:rsid w:val="00A040EE"/>
    <w:rsid w:val="00A7450A"/>
    <w:rsid w:val="00AD5D41"/>
    <w:rsid w:val="00AF3B0E"/>
    <w:rsid w:val="00B16984"/>
    <w:rsid w:val="00B42F02"/>
    <w:rsid w:val="00B50F73"/>
    <w:rsid w:val="00BB5125"/>
    <w:rsid w:val="00BD0A9B"/>
    <w:rsid w:val="00BE7CEB"/>
    <w:rsid w:val="00C0558A"/>
    <w:rsid w:val="00C85EC4"/>
    <w:rsid w:val="00C92E98"/>
    <w:rsid w:val="00D676FA"/>
    <w:rsid w:val="00D76F03"/>
    <w:rsid w:val="00D86861"/>
    <w:rsid w:val="00E46C4F"/>
    <w:rsid w:val="00E96EC5"/>
    <w:rsid w:val="00EE048A"/>
    <w:rsid w:val="00F02E54"/>
    <w:rsid w:val="00F5329A"/>
    <w:rsid w:val="00F64EBF"/>
    <w:rsid w:val="0164583D"/>
    <w:rsid w:val="09976DD7"/>
    <w:rsid w:val="12604858"/>
    <w:rsid w:val="13F83B1B"/>
    <w:rsid w:val="20A625AE"/>
    <w:rsid w:val="23330F55"/>
    <w:rsid w:val="23CD7ACB"/>
    <w:rsid w:val="25EE003C"/>
    <w:rsid w:val="26B24976"/>
    <w:rsid w:val="2A6112DA"/>
    <w:rsid w:val="2C533488"/>
    <w:rsid w:val="38037262"/>
    <w:rsid w:val="40316A6A"/>
    <w:rsid w:val="40C07696"/>
    <w:rsid w:val="48C912B8"/>
    <w:rsid w:val="51D31BCB"/>
    <w:rsid w:val="51E4596C"/>
    <w:rsid w:val="52622C38"/>
    <w:rsid w:val="5C311D40"/>
    <w:rsid w:val="5CAC4AA9"/>
    <w:rsid w:val="6BCE4EB6"/>
    <w:rsid w:val="6EFB05B6"/>
    <w:rsid w:val="704477AF"/>
    <w:rsid w:val="74BF0755"/>
    <w:rsid w:val="7C5877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8"/>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Body Text"/>
    <w:basedOn w:val="1"/>
    <w:next w:val="1"/>
    <w:qFormat/>
    <w:uiPriority w:val="0"/>
    <w:pPr>
      <w:spacing w:after="120"/>
    </w:pPr>
    <w:rPr>
      <w:rFonts w:eastAsia="宋体" w:cs="Times New Roman"/>
      <w:sz w:val="21"/>
      <w:szCs w:val="24"/>
    </w:rPr>
  </w:style>
  <w:style w:type="paragraph" w:styleId="5">
    <w:name w:val="toc 3"/>
    <w:basedOn w:val="1"/>
    <w:next w:val="1"/>
    <w:unhideWhenUsed/>
    <w:qFormat/>
    <w:uiPriority w:val="39"/>
    <w:pPr>
      <w:widowControl/>
      <w:spacing w:after="100" w:line="259" w:lineRule="auto"/>
      <w:ind w:left="440"/>
      <w:jc w:val="left"/>
    </w:pPr>
    <w:rPr>
      <w:rFonts w:cs="Times New Roman"/>
      <w:kern w:val="0"/>
      <w:sz w:val="22"/>
      <w:szCs w:val="22"/>
    </w:rPr>
  </w:style>
  <w:style w:type="paragraph" w:styleId="6">
    <w:name w:val="Plain Text"/>
    <w:basedOn w:val="1"/>
    <w:link w:val="19"/>
    <w:unhideWhenUsed/>
    <w:qFormat/>
    <w:uiPriority w:val="99"/>
    <w:rPr>
      <w:rFonts w:ascii="宋体" w:hAnsi="Courier New" w:eastAsia="宋体" w:cs="Courier New"/>
      <w:szCs w:val="21"/>
    </w:rPr>
  </w:style>
  <w:style w:type="paragraph" w:styleId="7">
    <w:name w:val="footer"/>
    <w:basedOn w:val="1"/>
    <w:link w:val="15"/>
    <w:qFormat/>
    <w:uiPriority w:val="99"/>
    <w:pPr>
      <w:tabs>
        <w:tab w:val="center" w:pos="4153"/>
        <w:tab w:val="right" w:pos="8306"/>
      </w:tabs>
      <w:snapToGrid w:val="0"/>
      <w:jc w:val="left"/>
    </w:pPr>
    <w:rPr>
      <w:sz w:val="18"/>
      <w:szCs w:val="18"/>
    </w:rPr>
  </w:style>
  <w:style w:type="paragraph" w:styleId="8">
    <w:name w:val="header"/>
    <w:basedOn w:val="1"/>
    <w:link w:val="14"/>
    <w:qFormat/>
    <w:uiPriority w:val="0"/>
    <w:pPr>
      <w:tabs>
        <w:tab w:val="center" w:pos="4153"/>
        <w:tab w:val="right" w:pos="8306"/>
      </w:tabs>
      <w:snapToGrid w:val="0"/>
      <w:jc w:val="center"/>
    </w:pPr>
    <w:rPr>
      <w:sz w:val="18"/>
      <w:szCs w:val="18"/>
    </w:rPr>
  </w:style>
  <w:style w:type="paragraph" w:styleId="9">
    <w:name w:val="toc 1"/>
    <w:basedOn w:val="1"/>
    <w:next w:val="1"/>
    <w:unhideWhenUsed/>
    <w:qFormat/>
    <w:uiPriority w:val="39"/>
    <w:pPr>
      <w:widowControl/>
      <w:tabs>
        <w:tab w:val="right" w:leader="dot" w:pos="8296"/>
      </w:tabs>
      <w:spacing w:after="100" w:line="259" w:lineRule="auto"/>
      <w:jc w:val="left"/>
    </w:pPr>
    <w:rPr>
      <w:rFonts w:cs="Times New Roman"/>
      <w:b/>
      <w:bCs/>
      <w:kern w:val="0"/>
      <w:sz w:val="28"/>
      <w:szCs w:val="28"/>
    </w:rPr>
  </w:style>
  <w:style w:type="paragraph" w:styleId="10">
    <w:name w:val="toc 2"/>
    <w:basedOn w:val="1"/>
    <w:next w:val="1"/>
    <w:unhideWhenUsed/>
    <w:qFormat/>
    <w:uiPriority w:val="39"/>
    <w:pPr>
      <w:widowControl/>
      <w:spacing w:after="100" w:line="259" w:lineRule="auto"/>
      <w:ind w:left="220"/>
      <w:jc w:val="left"/>
    </w:pPr>
    <w:rPr>
      <w:rFonts w:cs="Times New Roman"/>
      <w:kern w:val="0"/>
      <w:sz w:val="22"/>
      <w:szCs w:val="22"/>
    </w:rPr>
  </w:style>
  <w:style w:type="character" w:styleId="13">
    <w:name w:val="Hyperlink"/>
    <w:basedOn w:val="12"/>
    <w:unhideWhenUsed/>
    <w:qFormat/>
    <w:uiPriority w:val="99"/>
    <w:rPr>
      <w:color w:val="0026E5" w:themeColor="hyperlink"/>
      <w:u w:val="single"/>
      <w14:textFill>
        <w14:solidFill>
          <w14:schemeClr w14:val="hlink"/>
        </w14:solidFill>
      </w14:textFill>
    </w:rPr>
  </w:style>
  <w:style w:type="character" w:customStyle="1" w:styleId="14">
    <w:name w:val="页眉 字符"/>
    <w:basedOn w:val="12"/>
    <w:link w:val="8"/>
    <w:qFormat/>
    <w:uiPriority w:val="0"/>
    <w:rPr>
      <w:rFonts w:asciiTheme="minorHAnsi" w:hAnsiTheme="minorHAnsi" w:eastAsiaTheme="minorEastAsia" w:cstheme="minorBidi"/>
      <w:kern w:val="2"/>
      <w:sz w:val="18"/>
      <w:szCs w:val="18"/>
    </w:rPr>
  </w:style>
  <w:style w:type="character" w:customStyle="1" w:styleId="15">
    <w:name w:val="页脚 字符"/>
    <w:basedOn w:val="12"/>
    <w:link w:val="7"/>
    <w:qFormat/>
    <w:uiPriority w:val="99"/>
    <w:rPr>
      <w:rFonts w:asciiTheme="minorHAnsi" w:hAnsiTheme="minorHAnsi" w:eastAsiaTheme="minorEastAsia" w:cstheme="minorBidi"/>
      <w:kern w:val="2"/>
      <w:sz w:val="18"/>
      <w:szCs w:val="18"/>
    </w:rPr>
  </w:style>
  <w:style w:type="character" w:customStyle="1" w:styleId="16">
    <w:name w:val="标题 1 字符"/>
    <w:basedOn w:val="12"/>
    <w:link w:val="2"/>
    <w:qFormat/>
    <w:uiPriority w:val="0"/>
    <w:rPr>
      <w:rFonts w:asciiTheme="minorHAnsi" w:hAnsiTheme="minorHAnsi" w:eastAsiaTheme="minorEastAsia" w:cstheme="minorBidi"/>
      <w:b/>
      <w:bCs/>
      <w:kern w:val="44"/>
      <w:sz w:val="44"/>
      <w:szCs w:val="44"/>
    </w:rPr>
  </w:style>
  <w:style w:type="paragraph" w:customStyle="1" w:styleId="17">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54A1" w:themeColor="accent1" w:themeShade="BF"/>
      <w:kern w:val="0"/>
      <w:sz w:val="32"/>
      <w:szCs w:val="32"/>
    </w:rPr>
  </w:style>
  <w:style w:type="character" w:customStyle="1" w:styleId="18">
    <w:name w:val="标题 2 字符"/>
    <w:basedOn w:val="12"/>
    <w:link w:val="3"/>
    <w:qFormat/>
    <w:uiPriority w:val="0"/>
    <w:rPr>
      <w:rFonts w:asciiTheme="majorHAnsi" w:hAnsiTheme="majorHAnsi" w:eastAsiaTheme="majorEastAsia" w:cstheme="majorBidi"/>
      <w:b/>
      <w:bCs/>
      <w:kern w:val="2"/>
      <w:sz w:val="32"/>
      <w:szCs w:val="32"/>
    </w:rPr>
  </w:style>
  <w:style w:type="character" w:customStyle="1" w:styleId="19">
    <w:name w:val="纯文本 字符"/>
    <w:basedOn w:val="12"/>
    <w:link w:val="6"/>
    <w:qFormat/>
    <w:uiPriority w:val="99"/>
    <w:rPr>
      <w:rFonts w:ascii="宋体" w:hAnsi="Courier New" w:cs="Courier New"/>
      <w:kern w:val="2"/>
      <w:sz w:val="21"/>
      <w:szCs w:val="21"/>
    </w:rPr>
  </w:style>
  <w:style w:type="paragraph" w:customStyle="1" w:styleId="20">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03E613D-F769-4E4A-9955-2BF86F14008D}">
  <ds:schemaRefs/>
</ds:datastoreItem>
</file>

<file path=docProps/app.xml><?xml version="1.0" encoding="utf-8"?>
<Properties xmlns="http://schemas.openxmlformats.org/officeDocument/2006/extended-properties" xmlns:vt="http://schemas.openxmlformats.org/officeDocument/2006/docPropsVTypes">
  <Template>Normal.dotm</Template>
  <Pages>33</Pages>
  <Words>28669</Words>
  <Characters>29656</Characters>
  <Lines>42</Lines>
  <Paragraphs>11</Paragraphs>
  <TotalTime>15</TotalTime>
  <ScaleCrop>false</ScaleCrop>
  <LinksUpToDate>false</LinksUpToDate>
  <CharactersWithSpaces>29910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2023-10-11T06:42:00Z</dcterms:created>
  <dc:creator>yanghao</dc:creator>
  <cp:lastModifiedBy>qzuser</cp:lastModifiedBy>
  <cp:lastPrinted>2023-10-15T04:02:00Z</cp:lastPrinted>
  <dcterms:modified xsi:type="dcterms:W3CDTF">2024-08-09T02:54:33Z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B5280D88FDD345DAB33D1562FD99F762_13</vt:lpwstr>
  </property>
</Properties>
</file>