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harts/chart1.xml" ContentType="application/vnd.openxmlformats-officedocument.drawingml.chart+xml"/>
  <Override PartName="/word/charts/chart2.xml" ContentType="application/vnd.openxmlformats-officedocument.drawingml.chart+xml"/>
  <Override PartName="/word/charts/style1.xml" ContentType="application/vnd.ms-office.chartstyle+xml"/>
  <Override PartName="/word/charts/colors1.xml" ContentType="application/vnd.ms-office.chartcolorstyle+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6B8C80E" w14:textId="77777777" w:rsidR="00C772BF" w:rsidRPr="007C38A2" w:rsidRDefault="00C772BF" w:rsidP="00C772BF">
      <w:pPr>
        <w:widowControl/>
        <w:jc w:val="center"/>
        <w:rPr>
          <w:rFonts w:eastAsia="宋体"/>
          <w:b/>
          <w:sz w:val="36"/>
        </w:rPr>
      </w:pPr>
      <w:bookmarkStart w:id="0" w:name="_Toc117774245"/>
      <w:bookmarkStart w:id="1" w:name="_Toc117794128"/>
      <w:r w:rsidRPr="007C38A2">
        <w:rPr>
          <w:rFonts w:ascii="仿宋_GB2312" w:hAnsi="仿宋_GB2312" w:cs="仿宋_GB2312" w:hint="eastAsia"/>
          <w:b/>
          <w:sz w:val="36"/>
          <w:szCs w:val="32"/>
        </w:rPr>
        <w:t>一、《教学成果总结报告》</w:t>
      </w:r>
    </w:p>
    <w:p w14:paraId="59DFA111" w14:textId="77777777" w:rsidR="00C772BF" w:rsidRPr="004714DA" w:rsidRDefault="00C772BF" w:rsidP="00C772BF">
      <w:pPr>
        <w:spacing w:line="500" w:lineRule="exact"/>
        <w:ind w:firstLineChars="200" w:firstLine="560"/>
        <w:rPr>
          <w:rFonts w:ascii="仿宋" w:eastAsia="仿宋" w:hAnsi="仿宋"/>
          <w:sz w:val="28"/>
          <w:szCs w:val="28"/>
        </w:rPr>
      </w:pPr>
      <w:bookmarkStart w:id="2" w:name="_Hlk117433292"/>
      <w:bookmarkEnd w:id="0"/>
      <w:bookmarkEnd w:id="1"/>
      <w:r w:rsidRPr="004714DA">
        <w:rPr>
          <w:rFonts w:ascii="仿宋" w:eastAsia="仿宋" w:hAnsi="仿宋" w:hint="eastAsia"/>
          <w:sz w:val="28"/>
          <w:szCs w:val="28"/>
        </w:rPr>
        <w:t>在世界经济一体化的格局下，中国社会主义市场经济体制不断改革，企、事业单位招人不仅需要个人的专业技能，更看中学生的沟通能力、协作能力、学习能力、应变能力、创新能力、组织能力和独立能力。我国高校毕业生的数量由2001年的114万人增加到2024年的1179万人，面对严峻的就业环境和不断上涨的人才衡量标准，提高教学质量，创新人才培养模式，提升学生就业能力，是每所高校都面临的重要挑战。近年来，涉农企业由于工资待遇不高、就业地方远、出差多、无固定节假日等原因使得行业类人员流失严重，农业类专业学生在进入行业后不断跳槽，较难稳定。作为一所农业类大学，除了教授学生专业技能外，更应该加重培养学生的三农情怀，一名缺乏三农情怀和服务基层志向的学生即使在学校时成绩优异，毕业时转入非农行业工作，这对国家无非是一种损失。涉农类企事业单位如何提高薪资待遇，加强农业类大学生生活保障，也是防止人才流失的关键。由于农业的复杂性，涉农类企事业单位对于农业院校培养的学生并不满意，即企业需求与院校培养存在明显的“错位”现象。为解决这一问题，就需要企业与院校加强合作，让学生提前接触生产实践，达到毕业即就业的无缝对接。</w:t>
      </w:r>
    </w:p>
    <w:p w14:paraId="7332FD29" w14:textId="77777777" w:rsidR="00C772BF" w:rsidRPr="004714DA" w:rsidRDefault="00C772BF" w:rsidP="00C772BF">
      <w:pPr>
        <w:spacing w:line="500" w:lineRule="exact"/>
        <w:ind w:firstLineChars="200" w:firstLine="560"/>
        <w:rPr>
          <w:rFonts w:ascii="仿宋" w:eastAsia="仿宋" w:hAnsi="仿宋"/>
          <w:sz w:val="28"/>
          <w:szCs w:val="28"/>
        </w:rPr>
      </w:pPr>
      <w:bookmarkStart w:id="3" w:name="_Hlk117433392"/>
      <w:bookmarkStart w:id="4" w:name="_Hlk117159356"/>
      <w:bookmarkEnd w:id="2"/>
      <w:r w:rsidRPr="004714DA">
        <w:rPr>
          <w:rFonts w:ascii="仿宋" w:eastAsia="仿宋" w:hAnsi="仿宋" w:hint="eastAsia"/>
          <w:sz w:val="28"/>
          <w:szCs w:val="28"/>
        </w:rPr>
        <w:t>我国大学生招生人数不断增加，但大学生培养质量和就业形势并不乐观。一方面企业行业招聘不到需要的人才，另一方面，大学生毕业又找不到满意的工作，导致人才培养与社会需求衔接不紧密，给学校和导师都带来很大的压力。产生这一问题的原因可能是多方面的，但传统的大学生培养，以理论教学为主，学生远离田间地头，实践环节偏少，跟产业接触不够，学生综合素质不强，影响了就业和创业。高校普遍存在“学农不爱农，学农不择农”的情况，农业高等教育资源浪费，其中有社会大环境的影响，也有专业认知的偏差。因此需要创新大学生人才培养模式，让大学生从实验室走到试验田，在完成理</w:t>
      </w:r>
      <w:r w:rsidRPr="004714DA">
        <w:rPr>
          <w:rFonts w:ascii="仿宋" w:eastAsia="仿宋" w:hAnsi="仿宋" w:hint="eastAsia"/>
          <w:sz w:val="28"/>
          <w:szCs w:val="28"/>
        </w:rPr>
        <w:lastRenderedPageBreak/>
        <w:t>论知识学习的基础上，研究解决农业农村生产实践中的实际问题，实现教书与育人、田间与课堂、理论与实践、科研与推广、创新与服务的紧密结合，培养适合我国农业发展的新农科多样化人才。</w:t>
      </w:r>
    </w:p>
    <w:p w14:paraId="062714FE" w14:textId="77777777" w:rsidR="00C772BF" w:rsidRPr="004714DA" w:rsidRDefault="00C772BF" w:rsidP="00C772BF">
      <w:pPr>
        <w:spacing w:line="500" w:lineRule="exact"/>
        <w:ind w:firstLineChars="200" w:firstLine="560"/>
        <w:rPr>
          <w:rFonts w:ascii="仿宋" w:eastAsia="仿宋" w:hAnsi="仿宋"/>
          <w:sz w:val="28"/>
          <w:szCs w:val="28"/>
        </w:rPr>
      </w:pPr>
      <w:r w:rsidRPr="004714DA">
        <w:rPr>
          <w:rFonts w:ascii="仿宋" w:eastAsia="仿宋" w:hAnsi="仿宋"/>
          <w:sz w:val="28"/>
          <w:szCs w:val="28"/>
        </w:rPr>
        <w:t>2009年中国农业大学基于研究生入住建立了第一个科技小院。2012年9月，河南农业大学带领大学生深入生产一线，在禹州市顺店镇康城村建立了河南省第一个科技小院。通过驻扎科技小院，提高了大学生知农爱农情怀；通过跨学科、多领域学习，多元化、全产业链培养，建立了阶梯式人才培养体系；搭建了产教融合、协同育人的产学研平台和校企地多元互动，全过程多元化评价保障机制，确保论文写在科技小院，学位授在田间地头，培养科研能顶天、应用能立地的新农科多样化人才。</w:t>
      </w:r>
    </w:p>
    <w:p w14:paraId="245D1AEF" w14:textId="77777777" w:rsidR="00C772BF" w:rsidRPr="004714DA" w:rsidRDefault="00C772BF" w:rsidP="00C772BF">
      <w:pPr>
        <w:spacing w:line="500" w:lineRule="exact"/>
        <w:ind w:firstLineChars="200" w:firstLine="560"/>
        <w:rPr>
          <w:rFonts w:ascii="仿宋" w:eastAsia="仿宋" w:hAnsi="仿宋"/>
          <w:sz w:val="28"/>
          <w:szCs w:val="28"/>
        </w:rPr>
      </w:pPr>
      <w:r w:rsidRPr="004714DA">
        <w:rPr>
          <w:rFonts w:ascii="仿宋" w:eastAsia="仿宋" w:hAnsi="仿宋" w:hint="eastAsia"/>
          <w:sz w:val="28"/>
          <w:szCs w:val="28"/>
        </w:rPr>
        <w:t>通过</w:t>
      </w:r>
      <w:r w:rsidRPr="004714DA">
        <w:rPr>
          <w:rFonts w:ascii="仿宋" w:eastAsia="仿宋" w:hAnsi="仿宋"/>
          <w:sz w:val="28"/>
          <w:szCs w:val="28"/>
        </w:rPr>
        <w:t>4年的探索和8年的实践检验，近800名本科生在科技小院入住，科技小院培养的大学生获专业技能竞赛、创新创业大赛、彩河南人-最美大学生、河南省助力乡村振兴科技小院优秀志愿者、社会实践优秀实践小队等奖励荣誉20余项；学生考取研究生的比例大幅度提高，就业率上升，考研和就业学生受到用人单位高度好评。基于科技小院的大学生人才培养模式被省内外高校学习借鉴。科技小院扩大到教育部、农业农村部、中国科协批准的24个科技小院，受到人民日报、光明日报、科技日报、河南日报、中央电视台等各级各类媒体报道120余次。</w:t>
      </w:r>
    </w:p>
    <w:bookmarkEnd w:id="3"/>
    <w:bookmarkEnd w:id="4"/>
    <w:p w14:paraId="22DF0151" w14:textId="77777777" w:rsidR="00C772BF" w:rsidRPr="004714DA" w:rsidRDefault="00C772BF" w:rsidP="00C772BF">
      <w:pPr>
        <w:spacing w:line="500" w:lineRule="exact"/>
        <w:rPr>
          <w:rFonts w:ascii="仿宋" w:eastAsia="仿宋" w:hAnsi="仿宋"/>
          <w:b/>
          <w:bCs/>
          <w:kern w:val="0"/>
          <w:sz w:val="32"/>
          <w:szCs w:val="32"/>
        </w:rPr>
      </w:pPr>
      <w:r w:rsidRPr="004714DA">
        <w:rPr>
          <w:rFonts w:ascii="仿宋" w:eastAsia="仿宋" w:hAnsi="仿宋"/>
          <w:b/>
          <w:bCs/>
          <w:kern w:val="0"/>
          <w:sz w:val="32"/>
          <w:szCs w:val="32"/>
        </w:rPr>
        <w:t>1、本成果主要解决的问题</w:t>
      </w:r>
    </w:p>
    <w:p w14:paraId="604246A2" w14:textId="77777777" w:rsidR="00C772BF" w:rsidRPr="004714DA" w:rsidRDefault="00C772BF" w:rsidP="00C772BF">
      <w:pPr>
        <w:spacing w:line="500" w:lineRule="exact"/>
        <w:ind w:firstLineChars="200" w:firstLine="560"/>
        <w:rPr>
          <w:rFonts w:ascii="仿宋" w:eastAsia="仿宋" w:hAnsi="仿宋"/>
          <w:sz w:val="28"/>
          <w:szCs w:val="28"/>
        </w:rPr>
      </w:pPr>
      <w:r w:rsidRPr="004714DA">
        <w:rPr>
          <w:rFonts w:ascii="仿宋" w:eastAsia="仿宋" w:hAnsi="仿宋" w:hint="eastAsia"/>
          <w:sz w:val="28"/>
          <w:szCs w:val="28"/>
        </w:rPr>
        <w:t>（</w:t>
      </w:r>
      <w:r w:rsidRPr="004714DA">
        <w:rPr>
          <w:rFonts w:ascii="仿宋" w:eastAsia="仿宋" w:hAnsi="仿宋"/>
          <w:sz w:val="28"/>
          <w:szCs w:val="28"/>
        </w:rPr>
        <w:t>1）</w:t>
      </w:r>
      <w:r w:rsidRPr="007F2A7B">
        <w:rPr>
          <w:rFonts w:ascii="仿宋" w:eastAsia="仿宋" w:hAnsi="仿宋" w:hint="eastAsia"/>
          <w:sz w:val="28"/>
          <w:szCs w:val="28"/>
        </w:rPr>
        <w:t>学生对“三农”</w:t>
      </w:r>
      <w:r w:rsidRPr="007F2A7B">
        <w:rPr>
          <w:rFonts w:ascii="仿宋" w:eastAsia="仿宋" w:hAnsi="仿宋"/>
          <w:sz w:val="28"/>
          <w:szCs w:val="28"/>
        </w:rPr>
        <w:t>了解不够</w:t>
      </w:r>
      <w:r w:rsidRPr="007F2A7B">
        <w:rPr>
          <w:rFonts w:ascii="仿宋" w:eastAsia="仿宋" w:hAnsi="仿宋" w:hint="eastAsia"/>
          <w:sz w:val="28"/>
          <w:szCs w:val="28"/>
        </w:rPr>
        <w:t>，</w:t>
      </w:r>
      <w:r w:rsidRPr="007F2A7B">
        <w:rPr>
          <w:rFonts w:ascii="仿宋" w:eastAsia="仿宋" w:hAnsi="仿宋"/>
          <w:sz w:val="28"/>
          <w:szCs w:val="28"/>
        </w:rPr>
        <w:t>课堂与田间结合不</w:t>
      </w:r>
      <w:r w:rsidRPr="007F2A7B">
        <w:rPr>
          <w:rFonts w:ascii="仿宋" w:eastAsia="仿宋" w:hAnsi="仿宋" w:hint="eastAsia"/>
          <w:sz w:val="28"/>
          <w:szCs w:val="28"/>
        </w:rPr>
        <w:t>紧。</w:t>
      </w:r>
      <w:r w:rsidRPr="004714DA">
        <w:rPr>
          <w:rFonts w:ascii="仿宋" w:eastAsia="仿宋" w:hAnsi="仿宋"/>
          <w:sz w:val="28"/>
          <w:szCs w:val="28"/>
        </w:rPr>
        <w:t>学生专业认知存在偏差，知农爱农情怀不深。农业处于产业链的末端，大学生存在“轻农、嫌农”偏见，学生远离田间地头，对农业专业知识的热爱度不够。</w:t>
      </w:r>
    </w:p>
    <w:p w14:paraId="699C9642" w14:textId="77777777" w:rsidR="00C772BF" w:rsidRPr="004714DA" w:rsidRDefault="00C772BF" w:rsidP="00C772BF">
      <w:pPr>
        <w:spacing w:line="500" w:lineRule="exact"/>
        <w:ind w:firstLineChars="200" w:firstLine="560"/>
        <w:rPr>
          <w:rFonts w:ascii="仿宋" w:eastAsia="仿宋" w:hAnsi="仿宋"/>
          <w:sz w:val="28"/>
          <w:szCs w:val="28"/>
        </w:rPr>
      </w:pPr>
      <w:r w:rsidRPr="004714DA">
        <w:rPr>
          <w:rFonts w:ascii="仿宋" w:eastAsia="仿宋" w:hAnsi="仿宋" w:hint="eastAsia"/>
          <w:sz w:val="28"/>
          <w:szCs w:val="28"/>
        </w:rPr>
        <w:t>（</w:t>
      </w:r>
      <w:r w:rsidRPr="004714DA">
        <w:rPr>
          <w:rFonts w:ascii="仿宋" w:eastAsia="仿宋" w:hAnsi="仿宋"/>
          <w:sz w:val="28"/>
          <w:szCs w:val="28"/>
        </w:rPr>
        <w:t>2）</w:t>
      </w:r>
      <w:r w:rsidRPr="007F2A7B">
        <w:rPr>
          <w:rFonts w:ascii="仿宋" w:eastAsia="仿宋" w:hAnsi="仿宋" w:hint="eastAsia"/>
          <w:sz w:val="28"/>
          <w:szCs w:val="28"/>
        </w:rPr>
        <w:t>教学实践</w:t>
      </w:r>
      <w:r w:rsidRPr="007F2A7B">
        <w:rPr>
          <w:rFonts w:ascii="仿宋" w:eastAsia="仿宋" w:hAnsi="仿宋"/>
          <w:sz w:val="28"/>
          <w:szCs w:val="28"/>
        </w:rPr>
        <w:t>环节薄弱，综合能力不强</w:t>
      </w:r>
      <w:r w:rsidRPr="007F2A7B">
        <w:rPr>
          <w:rFonts w:ascii="仿宋" w:eastAsia="仿宋" w:hAnsi="仿宋" w:hint="eastAsia"/>
          <w:sz w:val="28"/>
          <w:szCs w:val="28"/>
        </w:rPr>
        <w:t>。</w:t>
      </w:r>
      <w:r w:rsidRPr="004714DA">
        <w:rPr>
          <w:rFonts w:ascii="仿宋" w:eastAsia="仿宋" w:hAnsi="仿宋"/>
          <w:sz w:val="28"/>
          <w:szCs w:val="28"/>
        </w:rPr>
        <w:t>理论教学与实践教学不协调。传统课程学习以教师课堂讲授、学生被动学习为主，尤其是</w:t>
      </w:r>
      <w:r w:rsidRPr="004714DA">
        <w:rPr>
          <w:rFonts w:ascii="仿宋" w:eastAsia="仿宋" w:hAnsi="仿宋"/>
          <w:sz w:val="28"/>
          <w:szCs w:val="28"/>
        </w:rPr>
        <w:lastRenderedPageBreak/>
        <w:t>实践教学环节薄弱、培养体系不完善、学生参与度低、操作性差。</w:t>
      </w:r>
    </w:p>
    <w:p w14:paraId="373D40E9" w14:textId="77777777" w:rsidR="00C772BF" w:rsidRPr="004714DA" w:rsidRDefault="00C772BF" w:rsidP="00C772BF">
      <w:pPr>
        <w:spacing w:line="500" w:lineRule="exact"/>
        <w:ind w:firstLineChars="200" w:firstLine="560"/>
        <w:rPr>
          <w:rFonts w:ascii="仿宋" w:eastAsia="仿宋" w:hAnsi="仿宋"/>
          <w:sz w:val="28"/>
          <w:szCs w:val="28"/>
        </w:rPr>
      </w:pPr>
      <w:r w:rsidRPr="004714DA">
        <w:rPr>
          <w:rFonts w:ascii="仿宋" w:eastAsia="仿宋" w:hAnsi="仿宋" w:hint="eastAsia"/>
          <w:sz w:val="28"/>
          <w:szCs w:val="28"/>
        </w:rPr>
        <w:t>（</w:t>
      </w:r>
      <w:r w:rsidRPr="004714DA">
        <w:rPr>
          <w:rFonts w:ascii="仿宋" w:eastAsia="仿宋" w:hAnsi="仿宋"/>
          <w:sz w:val="28"/>
          <w:szCs w:val="28"/>
        </w:rPr>
        <w:t>3）</w:t>
      </w:r>
      <w:r w:rsidRPr="007F2A7B">
        <w:rPr>
          <w:rFonts w:ascii="仿宋" w:eastAsia="仿宋" w:hAnsi="仿宋" w:hint="eastAsia"/>
          <w:sz w:val="28"/>
          <w:szCs w:val="28"/>
        </w:rPr>
        <w:t>培养模式</w:t>
      </w:r>
      <w:r w:rsidRPr="007F2A7B">
        <w:rPr>
          <w:rFonts w:ascii="仿宋" w:eastAsia="仿宋" w:hAnsi="仿宋"/>
          <w:sz w:val="28"/>
          <w:szCs w:val="28"/>
        </w:rPr>
        <w:t>单一，不利于学生就业创业</w:t>
      </w:r>
      <w:r w:rsidRPr="007F2A7B">
        <w:rPr>
          <w:rFonts w:ascii="仿宋" w:eastAsia="仿宋" w:hAnsi="仿宋" w:hint="eastAsia"/>
          <w:sz w:val="28"/>
          <w:szCs w:val="28"/>
        </w:rPr>
        <w:t>。</w:t>
      </w:r>
      <w:r w:rsidRPr="004714DA">
        <w:rPr>
          <w:rFonts w:ascii="仿宋" w:eastAsia="仿宋" w:hAnsi="仿宋"/>
          <w:sz w:val="28"/>
          <w:szCs w:val="28"/>
        </w:rPr>
        <w:t>人才培养与用人单位需求不匹配。农业产业发展迅速，新产品、新技术层出不穷，而传统教学环节参与产业工作少，教师对农业生产了解不够，课堂教学知识陈旧、范畴狭隘，与产业发展脱节。</w:t>
      </w:r>
    </w:p>
    <w:p w14:paraId="43F009CE" w14:textId="77777777" w:rsidR="00C772BF" w:rsidRPr="004714DA" w:rsidRDefault="00C772BF" w:rsidP="00C772BF">
      <w:pPr>
        <w:spacing w:line="500" w:lineRule="exact"/>
        <w:rPr>
          <w:rFonts w:ascii="仿宋" w:eastAsia="仿宋" w:hAnsi="仿宋"/>
          <w:b/>
          <w:bCs/>
          <w:kern w:val="0"/>
          <w:sz w:val="32"/>
          <w:szCs w:val="32"/>
        </w:rPr>
      </w:pPr>
      <w:r w:rsidRPr="004714DA">
        <w:rPr>
          <w:rFonts w:ascii="仿宋" w:eastAsia="仿宋" w:hAnsi="仿宋"/>
          <w:b/>
          <w:bCs/>
          <w:kern w:val="0"/>
          <w:sz w:val="32"/>
          <w:szCs w:val="32"/>
        </w:rPr>
        <w:t>2、成果解决教学问题的方法</w:t>
      </w:r>
    </w:p>
    <w:p w14:paraId="6AB4F189" w14:textId="77777777" w:rsidR="00C772BF" w:rsidRPr="00EC1CB4" w:rsidRDefault="00C772BF" w:rsidP="00C772BF">
      <w:pPr>
        <w:spacing w:line="500" w:lineRule="exact"/>
        <w:rPr>
          <w:rFonts w:ascii="仿宋" w:eastAsia="仿宋" w:hAnsi="仿宋"/>
          <w:b/>
          <w:bCs/>
          <w:kern w:val="0"/>
          <w:sz w:val="28"/>
          <w:szCs w:val="28"/>
        </w:rPr>
      </w:pPr>
      <w:r w:rsidRPr="00EC1CB4">
        <w:rPr>
          <w:rFonts w:ascii="仿宋" w:eastAsia="仿宋" w:hAnsi="仿宋"/>
          <w:b/>
          <w:bCs/>
          <w:kern w:val="0"/>
          <w:sz w:val="28"/>
          <w:szCs w:val="28"/>
        </w:rPr>
        <w:t>2.1</w:t>
      </w:r>
      <w:r w:rsidRPr="00EC1CB4">
        <w:rPr>
          <w:rFonts w:ascii="仿宋" w:eastAsia="仿宋" w:hAnsi="仿宋" w:hint="eastAsia"/>
          <w:b/>
          <w:bCs/>
          <w:sz w:val="28"/>
          <w:szCs w:val="28"/>
        </w:rPr>
        <w:t>入住科技小院，加强实践环节培养，培养“一懂两爱”，强化新农科人才培养。</w:t>
      </w:r>
    </w:p>
    <w:p w14:paraId="3AA2FC79" w14:textId="77777777" w:rsidR="00C772BF" w:rsidRPr="00EC1CB4" w:rsidRDefault="00C772BF" w:rsidP="00C772BF">
      <w:pPr>
        <w:spacing w:line="500" w:lineRule="exact"/>
        <w:ind w:firstLineChars="200" w:firstLine="560"/>
        <w:rPr>
          <w:rFonts w:ascii="仿宋" w:eastAsia="仿宋" w:hAnsi="仿宋"/>
          <w:sz w:val="28"/>
          <w:szCs w:val="28"/>
        </w:rPr>
      </w:pPr>
      <w:r w:rsidRPr="00EC1CB4">
        <w:rPr>
          <w:rFonts w:ascii="仿宋" w:eastAsia="仿宋" w:hAnsi="仿宋" w:hint="eastAsia"/>
          <w:sz w:val="28"/>
          <w:szCs w:val="28"/>
        </w:rPr>
        <w:t>（1）校企校地</w:t>
      </w:r>
      <w:r w:rsidRPr="00EC1CB4">
        <w:rPr>
          <w:rFonts w:ascii="仿宋" w:eastAsia="仿宋" w:hAnsi="仿宋"/>
          <w:sz w:val="28"/>
          <w:szCs w:val="28"/>
        </w:rPr>
        <w:t>合作</w:t>
      </w:r>
      <w:r w:rsidRPr="00EC1CB4">
        <w:rPr>
          <w:rFonts w:ascii="仿宋" w:eastAsia="仿宋" w:hAnsi="仿宋" w:hint="eastAsia"/>
          <w:sz w:val="28"/>
          <w:szCs w:val="28"/>
        </w:rPr>
        <w:t>共建科技小院</w:t>
      </w:r>
      <w:r w:rsidRPr="00EC1CB4">
        <w:rPr>
          <w:rFonts w:ascii="仿宋" w:eastAsia="仿宋" w:hAnsi="仿宋"/>
          <w:sz w:val="28"/>
          <w:szCs w:val="28"/>
        </w:rPr>
        <w:t>，</w:t>
      </w:r>
      <w:r w:rsidRPr="00EC1CB4">
        <w:rPr>
          <w:rFonts w:ascii="仿宋" w:eastAsia="仿宋" w:hAnsi="仿宋" w:hint="eastAsia"/>
          <w:sz w:val="28"/>
          <w:szCs w:val="28"/>
        </w:rPr>
        <w:t>发挥</w:t>
      </w:r>
      <w:r w:rsidRPr="00EC1CB4">
        <w:rPr>
          <w:rFonts w:ascii="仿宋" w:eastAsia="仿宋" w:hAnsi="仿宋"/>
          <w:sz w:val="28"/>
          <w:szCs w:val="28"/>
        </w:rPr>
        <w:t>社会实践基地、</w:t>
      </w:r>
      <w:r w:rsidRPr="00EC1CB4">
        <w:rPr>
          <w:rFonts w:ascii="仿宋" w:eastAsia="仿宋" w:hAnsi="仿宋" w:hint="eastAsia"/>
          <w:sz w:val="28"/>
          <w:szCs w:val="28"/>
        </w:rPr>
        <w:t>产教</w:t>
      </w:r>
      <w:r w:rsidRPr="00EC1CB4">
        <w:rPr>
          <w:rFonts w:ascii="仿宋" w:eastAsia="仿宋" w:hAnsi="仿宋"/>
          <w:sz w:val="28"/>
          <w:szCs w:val="28"/>
        </w:rPr>
        <w:t>融合基地、耕读教育基地</w:t>
      </w:r>
      <w:r w:rsidRPr="00EC1CB4">
        <w:rPr>
          <w:rFonts w:ascii="仿宋" w:eastAsia="仿宋" w:hAnsi="仿宋" w:hint="eastAsia"/>
          <w:sz w:val="28"/>
          <w:szCs w:val="28"/>
        </w:rPr>
        <w:t>多重</w:t>
      </w:r>
      <w:r w:rsidRPr="00EC1CB4">
        <w:rPr>
          <w:rFonts w:ascii="仿宋" w:eastAsia="仿宋" w:hAnsi="仿宋"/>
          <w:sz w:val="28"/>
          <w:szCs w:val="28"/>
        </w:rPr>
        <w:t>功效，</w:t>
      </w:r>
      <w:r w:rsidRPr="00EC1CB4">
        <w:rPr>
          <w:rFonts w:ascii="仿宋" w:eastAsia="仿宋" w:hAnsi="仿宋" w:hint="eastAsia"/>
          <w:sz w:val="28"/>
          <w:szCs w:val="28"/>
        </w:rPr>
        <w:t>鼓励</w:t>
      </w:r>
      <w:r w:rsidRPr="00EC1CB4">
        <w:rPr>
          <w:rFonts w:ascii="仿宋" w:eastAsia="仿宋" w:hAnsi="仿宋" w:hint="eastAsia"/>
          <w:bCs/>
          <w:sz w:val="28"/>
          <w:szCs w:val="28"/>
        </w:rPr>
        <w:t>学生</w:t>
      </w:r>
      <w:r w:rsidRPr="00EC1CB4">
        <w:rPr>
          <w:rFonts w:ascii="仿宋" w:eastAsia="仿宋" w:hAnsi="仿宋" w:hint="eastAsia"/>
          <w:sz w:val="28"/>
          <w:szCs w:val="28"/>
        </w:rPr>
        <w:t>走进一线、面向生产，</w:t>
      </w:r>
      <w:r w:rsidRPr="00EC1CB4">
        <w:rPr>
          <w:rFonts w:ascii="仿宋" w:eastAsia="仿宋" w:hAnsi="仿宋"/>
          <w:sz w:val="28"/>
          <w:szCs w:val="28"/>
        </w:rPr>
        <w:t>了解三农</w:t>
      </w:r>
      <w:r w:rsidRPr="00EC1CB4">
        <w:rPr>
          <w:rFonts w:ascii="仿宋" w:eastAsia="仿宋" w:hAnsi="仿宋" w:hint="eastAsia"/>
          <w:sz w:val="28"/>
          <w:szCs w:val="28"/>
        </w:rPr>
        <w:t>现状</w:t>
      </w:r>
      <w:r w:rsidRPr="00EC1CB4">
        <w:rPr>
          <w:rFonts w:ascii="仿宋" w:eastAsia="仿宋" w:hAnsi="仿宋"/>
          <w:sz w:val="28"/>
          <w:szCs w:val="28"/>
        </w:rPr>
        <w:t>，</w:t>
      </w:r>
      <w:r w:rsidRPr="00EC1CB4">
        <w:rPr>
          <w:rFonts w:ascii="仿宋" w:eastAsia="仿宋" w:hAnsi="仿宋" w:hint="eastAsia"/>
          <w:sz w:val="28"/>
          <w:szCs w:val="28"/>
        </w:rPr>
        <w:t>实现大学生下得去；</w:t>
      </w:r>
    </w:p>
    <w:p w14:paraId="19BC706C" w14:textId="77777777" w:rsidR="00C772BF" w:rsidRPr="00EC1CB4" w:rsidRDefault="00C772BF" w:rsidP="00C772BF">
      <w:pPr>
        <w:spacing w:line="500" w:lineRule="exact"/>
        <w:ind w:firstLineChars="200" w:firstLine="560"/>
        <w:rPr>
          <w:rFonts w:ascii="仿宋" w:eastAsia="仿宋" w:hAnsi="仿宋"/>
          <w:sz w:val="28"/>
          <w:szCs w:val="28"/>
        </w:rPr>
      </w:pPr>
      <w:r w:rsidRPr="00EC1CB4">
        <w:rPr>
          <w:rFonts w:ascii="仿宋" w:eastAsia="仿宋" w:hAnsi="仿宋"/>
          <w:sz w:val="28"/>
          <w:szCs w:val="28"/>
        </w:rPr>
        <w:t>（</w:t>
      </w:r>
      <w:r w:rsidRPr="00EC1CB4">
        <w:rPr>
          <w:rFonts w:ascii="仿宋" w:eastAsia="仿宋" w:hAnsi="仿宋" w:hint="eastAsia"/>
          <w:sz w:val="28"/>
          <w:szCs w:val="28"/>
        </w:rPr>
        <w:t>2</w:t>
      </w:r>
      <w:r w:rsidRPr="00EC1CB4">
        <w:rPr>
          <w:rFonts w:ascii="仿宋" w:eastAsia="仿宋" w:hAnsi="仿宋"/>
          <w:sz w:val="28"/>
          <w:szCs w:val="28"/>
        </w:rPr>
        <w:t>）</w:t>
      </w:r>
      <w:r w:rsidRPr="00EC1CB4">
        <w:rPr>
          <w:rFonts w:ascii="仿宋" w:eastAsia="仿宋" w:hAnsi="仿宋" w:hint="eastAsia"/>
          <w:sz w:val="28"/>
          <w:szCs w:val="28"/>
        </w:rPr>
        <w:t>学生入住科技</w:t>
      </w:r>
      <w:r w:rsidRPr="00EC1CB4">
        <w:rPr>
          <w:rFonts w:ascii="仿宋" w:eastAsia="仿宋" w:hAnsi="仿宋"/>
          <w:sz w:val="28"/>
          <w:szCs w:val="28"/>
        </w:rPr>
        <w:t>小院</w:t>
      </w:r>
      <w:r w:rsidRPr="00EC1CB4">
        <w:rPr>
          <w:rFonts w:ascii="仿宋" w:eastAsia="仿宋" w:hAnsi="仿宋" w:hint="eastAsia"/>
          <w:sz w:val="28"/>
          <w:szCs w:val="28"/>
        </w:rPr>
        <w:t>，深入学习农业行业产业知识，感悟农业</w:t>
      </w:r>
      <w:r w:rsidRPr="00EC1CB4">
        <w:rPr>
          <w:rFonts w:ascii="仿宋" w:eastAsia="仿宋" w:hAnsi="仿宋"/>
          <w:sz w:val="28"/>
          <w:szCs w:val="28"/>
        </w:rPr>
        <w:t>知识的实用和价值，</w:t>
      </w:r>
      <w:r w:rsidRPr="00EC1CB4">
        <w:rPr>
          <w:rFonts w:ascii="仿宋" w:eastAsia="仿宋" w:hAnsi="仿宋" w:hint="eastAsia"/>
          <w:sz w:val="28"/>
          <w:szCs w:val="28"/>
        </w:rPr>
        <w:t>增强对三农的情怀，实现大学生留得住；</w:t>
      </w:r>
    </w:p>
    <w:p w14:paraId="6D319721" w14:textId="77777777" w:rsidR="00C772BF" w:rsidRPr="00EC1CB4" w:rsidRDefault="00C772BF" w:rsidP="00C772BF">
      <w:pPr>
        <w:spacing w:line="500" w:lineRule="exact"/>
        <w:ind w:firstLineChars="200" w:firstLine="560"/>
        <w:rPr>
          <w:rFonts w:ascii="仿宋" w:eastAsia="仿宋" w:hAnsi="仿宋"/>
          <w:sz w:val="28"/>
          <w:szCs w:val="28"/>
        </w:rPr>
      </w:pPr>
      <w:r w:rsidRPr="00EC1CB4">
        <w:rPr>
          <w:rFonts w:ascii="仿宋" w:eastAsia="仿宋" w:hAnsi="仿宋" w:hint="eastAsia"/>
          <w:sz w:val="28"/>
          <w:szCs w:val="28"/>
        </w:rPr>
        <w:t>（3）学生入住科技</w:t>
      </w:r>
      <w:r w:rsidRPr="00EC1CB4">
        <w:rPr>
          <w:rFonts w:ascii="仿宋" w:eastAsia="仿宋" w:hAnsi="仿宋"/>
          <w:sz w:val="28"/>
          <w:szCs w:val="28"/>
        </w:rPr>
        <w:t>小院</w:t>
      </w:r>
      <w:r w:rsidRPr="00EC1CB4">
        <w:rPr>
          <w:rFonts w:ascii="仿宋" w:eastAsia="仿宋" w:hAnsi="仿宋" w:hint="eastAsia"/>
          <w:sz w:val="28"/>
          <w:szCs w:val="28"/>
        </w:rPr>
        <w:t>，边学习、边实践、边服务，不仅深化了课堂</w:t>
      </w:r>
      <w:r w:rsidRPr="00EC1CB4">
        <w:rPr>
          <w:rFonts w:ascii="仿宋" w:eastAsia="仿宋" w:hAnsi="仿宋"/>
          <w:sz w:val="28"/>
          <w:szCs w:val="28"/>
        </w:rPr>
        <w:t>所学</w:t>
      </w:r>
      <w:r w:rsidRPr="00EC1CB4">
        <w:rPr>
          <w:rFonts w:ascii="仿宋" w:eastAsia="仿宋" w:hAnsi="仿宋" w:hint="eastAsia"/>
          <w:sz w:val="28"/>
          <w:szCs w:val="28"/>
        </w:rPr>
        <w:t>理论</w:t>
      </w:r>
      <w:r w:rsidRPr="00EC1CB4">
        <w:rPr>
          <w:rFonts w:ascii="仿宋" w:eastAsia="仿宋" w:hAnsi="仿宋"/>
          <w:sz w:val="28"/>
          <w:szCs w:val="28"/>
        </w:rPr>
        <w:t>知识</w:t>
      </w:r>
      <w:r w:rsidRPr="00EC1CB4">
        <w:rPr>
          <w:rFonts w:ascii="仿宋" w:eastAsia="仿宋" w:hAnsi="仿宋" w:hint="eastAsia"/>
          <w:sz w:val="28"/>
          <w:szCs w:val="28"/>
        </w:rPr>
        <w:t>，还强化</w:t>
      </w:r>
      <w:r w:rsidRPr="00EC1CB4">
        <w:rPr>
          <w:rFonts w:ascii="仿宋" w:eastAsia="仿宋" w:hAnsi="仿宋"/>
          <w:sz w:val="28"/>
          <w:szCs w:val="28"/>
        </w:rPr>
        <w:t>实践</w:t>
      </w:r>
      <w:r w:rsidRPr="00EC1CB4">
        <w:rPr>
          <w:rFonts w:ascii="仿宋" w:eastAsia="仿宋" w:hAnsi="仿宋" w:hint="eastAsia"/>
          <w:sz w:val="28"/>
          <w:szCs w:val="28"/>
        </w:rPr>
        <w:t>动手能力，提升</w:t>
      </w:r>
      <w:r w:rsidRPr="00EC1CB4">
        <w:rPr>
          <w:rFonts w:ascii="仿宋" w:eastAsia="仿宋" w:hAnsi="仿宋"/>
          <w:sz w:val="28"/>
          <w:szCs w:val="28"/>
        </w:rPr>
        <w:t>综合素质，</w:t>
      </w:r>
      <w:r w:rsidRPr="00EC1CB4">
        <w:rPr>
          <w:rFonts w:ascii="仿宋" w:eastAsia="仿宋" w:hAnsi="仿宋" w:hint="eastAsia"/>
          <w:sz w:val="28"/>
          <w:szCs w:val="28"/>
        </w:rPr>
        <w:t>实现大学生干得好；</w:t>
      </w:r>
    </w:p>
    <w:p w14:paraId="227FBA29" w14:textId="77777777" w:rsidR="00C772BF" w:rsidRPr="00EC1CB4" w:rsidRDefault="00C772BF" w:rsidP="00C772BF">
      <w:pPr>
        <w:spacing w:line="500" w:lineRule="exact"/>
        <w:ind w:firstLineChars="200" w:firstLine="560"/>
        <w:rPr>
          <w:rFonts w:ascii="仿宋" w:eastAsia="仿宋" w:hAnsi="仿宋"/>
          <w:sz w:val="28"/>
          <w:szCs w:val="28"/>
        </w:rPr>
      </w:pPr>
      <w:r w:rsidRPr="00EC1CB4">
        <w:rPr>
          <w:rFonts w:ascii="仿宋" w:eastAsia="仿宋" w:hAnsi="仿宋" w:hint="eastAsia"/>
          <w:sz w:val="28"/>
          <w:szCs w:val="28"/>
        </w:rPr>
        <w:t>（</w:t>
      </w:r>
      <w:r w:rsidRPr="00EC1CB4">
        <w:rPr>
          <w:rFonts w:ascii="仿宋" w:eastAsia="仿宋" w:hAnsi="仿宋"/>
          <w:sz w:val="28"/>
          <w:szCs w:val="28"/>
        </w:rPr>
        <w:t>4</w:t>
      </w:r>
      <w:r w:rsidRPr="00EC1CB4">
        <w:rPr>
          <w:rFonts w:ascii="仿宋" w:eastAsia="仿宋" w:hAnsi="仿宋" w:hint="eastAsia"/>
          <w:sz w:val="28"/>
          <w:szCs w:val="28"/>
        </w:rPr>
        <w:t>）学生入住科技</w:t>
      </w:r>
      <w:r w:rsidRPr="00EC1CB4">
        <w:rPr>
          <w:rFonts w:ascii="仿宋" w:eastAsia="仿宋" w:hAnsi="仿宋"/>
          <w:sz w:val="28"/>
          <w:szCs w:val="28"/>
        </w:rPr>
        <w:t>小院</w:t>
      </w:r>
      <w:r w:rsidRPr="00EC1CB4">
        <w:rPr>
          <w:rFonts w:ascii="仿宋" w:eastAsia="仿宋" w:hAnsi="仿宋" w:hint="eastAsia"/>
          <w:sz w:val="28"/>
          <w:szCs w:val="28"/>
        </w:rPr>
        <w:t>，</w:t>
      </w:r>
      <w:r w:rsidRPr="00EC1CB4">
        <w:rPr>
          <w:rFonts w:ascii="仿宋" w:eastAsia="仿宋" w:hAnsi="仿宋"/>
          <w:sz w:val="28"/>
          <w:szCs w:val="28"/>
        </w:rPr>
        <w:t>要</w:t>
      </w:r>
      <w:r w:rsidRPr="00EC1CB4">
        <w:rPr>
          <w:rFonts w:ascii="仿宋" w:eastAsia="仿宋" w:hAnsi="仿宋" w:hint="eastAsia"/>
          <w:sz w:val="28"/>
          <w:szCs w:val="28"/>
        </w:rPr>
        <w:t>过劳动关、实践关、演讲关、组织关、感情关、生活关、科研关、写作关等多个环节，有学生、技术员、村干部、农民、学生、厨师、主持人、</w:t>
      </w:r>
      <w:r w:rsidRPr="00EC1CB4">
        <w:rPr>
          <w:rFonts w:ascii="仿宋" w:eastAsia="仿宋" w:hAnsi="仿宋"/>
          <w:sz w:val="28"/>
          <w:szCs w:val="28"/>
        </w:rPr>
        <w:t>支教老师、网络主播</w:t>
      </w:r>
      <w:r w:rsidRPr="00EC1CB4">
        <w:rPr>
          <w:rFonts w:ascii="仿宋" w:eastAsia="仿宋" w:hAnsi="仿宋" w:hint="eastAsia"/>
          <w:sz w:val="28"/>
          <w:szCs w:val="28"/>
        </w:rPr>
        <w:t>等多个角色转换，磨炼意志力，增强自信心，开拓视野，</w:t>
      </w:r>
      <w:r w:rsidRPr="00EC1CB4">
        <w:rPr>
          <w:rFonts w:ascii="仿宋" w:eastAsia="仿宋" w:hAnsi="仿宋"/>
          <w:sz w:val="28"/>
          <w:szCs w:val="28"/>
        </w:rPr>
        <w:t>实现</w:t>
      </w:r>
      <w:r w:rsidRPr="00EC1CB4">
        <w:rPr>
          <w:rFonts w:ascii="仿宋" w:eastAsia="仿宋" w:hAnsi="仿宋" w:hint="eastAsia"/>
          <w:sz w:val="28"/>
          <w:szCs w:val="28"/>
        </w:rPr>
        <w:t>大学生出得去。</w:t>
      </w:r>
    </w:p>
    <w:p w14:paraId="19158366" w14:textId="77777777" w:rsidR="00C772BF" w:rsidRDefault="00C772BF" w:rsidP="00C772BF">
      <w:pPr>
        <w:spacing w:line="500" w:lineRule="exact"/>
        <w:rPr>
          <w:rFonts w:ascii="仿宋" w:eastAsia="仿宋" w:hAnsi="仿宋"/>
          <w:b/>
          <w:bCs/>
          <w:kern w:val="0"/>
          <w:sz w:val="28"/>
          <w:szCs w:val="28"/>
        </w:rPr>
      </w:pPr>
      <w:r w:rsidRPr="004714DA">
        <w:rPr>
          <w:rFonts w:ascii="仿宋" w:eastAsia="仿宋" w:hAnsi="仿宋"/>
          <w:b/>
          <w:bCs/>
          <w:kern w:val="0"/>
          <w:sz w:val="28"/>
          <w:szCs w:val="28"/>
        </w:rPr>
        <w:t>2.2</w:t>
      </w:r>
      <w:r w:rsidRPr="00446926">
        <w:rPr>
          <w:rFonts w:hAnsi="宋体" w:hint="eastAsia"/>
          <w:b/>
          <w:bCs/>
          <w:sz w:val="28"/>
          <w:szCs w:val="28"/>
        </w:rPr>
        <w:t>建立科技小院人才培养模式，强化应用能力、综合能力培养。</w:t>
      </w:r>
    </w:p>
    <w:p w14:paraId="695EA4FD" w14:textId="77777777" w:rsidR="00C772BF" w:rsidRPr="006B3BF2" w:rsidRDefault="00C772BF" w:rsidP="00C772BF">
      <w:pPr>
        <w:spacing w:line="500" w:lineRule="exact"/>
        <w:ind w:firstLineChars="200" w:firstLine="560"/>
        <w:rPr>
          <w:rFonts w:ascii="仿宋" w:eastAsia="仿宋" w:hAnsi="仿宋"/>
          <w:bCs/>
          <w:kern w:val="0"/>
          <w:sz w:val="28"/>
          <w:szCs w:val="28"/>
        </w:rPr>
      </w:pPr>
      <w:r w:rsidRPr="006B3BF2">
        <w:rPr>
          <w:rFonts w:ascii="仿宋" w:eastAsia="仿宋" w:hAnsi="仿宋" w:hint="eastAsia"/>
          <w:bCs/>
          <w:kern w:val="0"/>
          <w:sz w:val="28"/>
          <w:szCs w:val="28"/>
        </w:rPr>
        <w:t>大学生大一时通过参加科技小院协会了解科技小院，之后以“三下乡”、“科研助手”、“课程实习”等形式加入科技小院，以“生产实习”、“毕业论文”、“创新创业”等形式入住科技小院。校企地联合，为科技小院提供生活条件、工作条件、学习条件和人员安全、管理制度保障。学生的专业知识、农业知识、行业知识、劳动教育、德智体美劳得到全面发展。</w:t>
      </w:r>
    </w:p>
    <w:p w14:paraId="6EEC5BF1" w14:textId="77777777" w:rsidR="00C772BF" w:rsidRPr="006B3BF2" w:rsidRDefault="00C772BF" w:rsidP="00C772BF">
      <w:pPr>
        <w:spacing w:line="500" w:lineRule="exact"/>
        <w:ind w:firstLineChars="200" w:firstLine="560"/>
        <w:rPr>
          <w:rFonts w:ascii="仿宋" w:eastAsia="仿宋" w:hAnsi="仿宋"/>
          <w:sz w:val="28"/>
          <w:szCs w:val="28"/>
        </w:rPr>
      </w:pPr>
      <w:r w:rsidRPr="006B3BF2">
        <w:rPr>
          <w:rFonts w:ascii="仿宋" w:eastAsia="仿宋" w:hAnsi="仿宋" w:hint="eastAsia"/>
          <w:sz w:val="28"/>
          <w:szCs w:val="28"/>
        </w:rPr>
        <w:lastRenderedPageBreak/>
        <w:t>（1）大一学生通过</w:t>
      </w:r>
      <w:r w:rsidRPr="006B3BF2">
        <w:rPr>
          <w:rFonts w:ascii="仿宋" w:eastAsia="仿宋" w:hAnsi="仿宋"/>
          <w:sz w:val="28"/>
          <w:szCs w:val="28"/>
        </w:rPr>
        <w:t>入学教育、学生社团</w:t>
      </w:r>
      <w:r w:rsidRPr="006B3BF2">
        <w:rPr>
          <w:rFonts w:ascii="仿宋" w:eastAsia="仿宋" w:hAnsi="仿宋" w:hint="eastAsia"/>
          <w:sz w:val="28"/>
          <w:szCs w:val="28"/>
        </w:rPr>
        <w:t>、</w:t>
      </w:r>
      <w:r w:rsidRPr="006B3BF2">
        <w:rPr>
          <w:rFonts w:ascii="仿宋" w:eastAsia="仿宋" w:hAnsi="仿宋"/>
          <w:sz w:val="28"/>
          <w:szCs w:val="28"/>
        </w:rPr>
        <w:t>科技小院协会等方式</w:t>
      </w:r>
      <w:r w:rsidRPr="006B3BF2">
        <w:rPr>
          <w:rFonts w:ascii="仿宋" w:eastAsia="仿宋" w:hAnsi="仿宋" w:hint="eastAsia"/>
          <w:sz w:val="28"/>
          <w:szCs w:val="28"/>
        </w:rPr>
        <w:t>接触科技小院，并在双向选择下到科技小院体验；</w:t>
      </w:r>
    </w:p>
    <w:p w14:paraId="7C902B2D" w14:textId="77777777" w:rsidR="00C772BF" w:rsidRPr="006B3BF2" w:rsidRDefault="00C772BF" w:rsidP="00C772BF">
      <w:pPr>
        <w:spacing w:line="500" w:lineRule="exact"/>
        <w:ind w:firstLineChars="200" w:firstLine="560"/>
        <w:rPr>
          <w:rFonts w:ascii="仿宋" w:eastAsia="仿宋" w:hAnsi="仿宋"/>
          <w:sz w:val="28"/>
          <w:szCs w:val="28"/>
        </w:rPr>
      </w:pPr>
      <w:r w:rsidRPr="006B3BF2">
        <w:rPr>
          <w:rFonts w:ascii="仿宋" w:eastAsia="仿宋" w:hAnsi="仿宋" w:hint="eastAsia"/>
          <w:sz w:val="28"/>
          <w:szCs w:val="28"/>
        </w:rPr>
        <w:t>（2）大二学生以假期社会实践、“三下乡”、“科研助手”、“课程实习”等形式加入科技小院，短期入住科技小院；</w:t>
      </w:r>
    </w:p>
    <w:p w14:paraId="41D55CA7" w14:textId="77777777" w:rsidR="00C772BF" w:rsidRPr="006B3BF2" w:rsidRDefault="00C772BF" w:rsidP="00C772BF">
      <w:pPr>
        <w:spacing w:line="500" w:lineRule="exact"/>
        <w:ind w:firstLineChars="200" w:firstLine="560"/>
        <w:rPr>
          <w:rFonts w:ascii="仿宋" w:eastAsia="仿宋" w:hAnsi="仿宋"/>
          <w:sz w:val="28"/>
          <w:szCs w:val="28"/>
        </w:rPr>
      </w:pPr>
      <w:r w:rsidRPr="006B3BF2">
        <w:rPr>
          <w:rFonts w:ascii="仿宋" w:eastAsia="仿宋" w:hAnsi="仿宋" w:hint="eastAsia"/>
          <w:sz w:val="28"/>
          <w:szCs w:val="28"/>
        </w:rPr>
        <w:t>（3）</w:t>
      </w:r>
      <w:r w:rsidRPr="006B3BF2">
        <w:rPr>
          <w:rFonts w:ascii="仿宋" w:eastAsia="仿宋" w:hAnsi="仿宋" w:hint="eastAsia"/>
          <w:sz w:val="28"/>
          <w:szCs w:val="32"/>
        </w:rPr>
        <w:t>大三学生通过“飞鹰创新”、</w:t>
      </w:r>
      <w:r w:rsidRPr="006B3BF2">
        <w:rPr>
          <w:rFonts w:ascii="仿宋" w:eastAsia="仿宋" w:hAnsi="仿宋" w:hint="eastAsia"/>
          <w:sz w:val="28"/>
          <w:szCs w:val="28"/>
        </w:rPr>
        <w:t>“生产实习”、“毕业实习”、“创新创业”</w:t>
      </w:r>
      <w:r w:rsidRPr="006B3BF2">
        <w:rPr>
          <w:rFonts w:ascii="仿宋" w:eastAsia="仿宋" w:hAnsi="仿宋" w:hint="eastAsia"/>
          <w:sz w:val="28"/>
          <w:szCs w:val="32"/>
        </w:rPr>
        <w:t>等项目阶段性入住科技小院；</w:t>
      </w:r>
    </w:p>
    <w:p w14:paraId="31503D86" w14:textId="77777777" w:rsidR="00C772BF" w:rsidRDefault="00C772BF" w:rsidP="00C772BF">
      <w:pPr>
        <w:spacing w:line="500" w:lineRule="exact"/>
        <w:ind w:firstLineChars="200" w:firstLine="560"/>
        <w:rPr>
          <w:rFonts w:ascii="仿宋" w:eastAsia="仿宋" w:hAnsi="仿宋"/>
          <w:sz w:val="28"/>
          <w:szCs w:val="32"/>
        </w:rPr>
      </w:pPr>
      <w:r w:rsidRPr="006B3BF2">
        <w:rPr>
          <w:rFonts w:ascii="仿宋" w:eastAsia="仿宋" w:hAnsi="仿宋" w:hint="eastAsia"/>
          <w:sz w:val="28"/>
          <w:szCs w:val="32"/>
        </w:rPr>
        <w:t>（4）大四学生通过毕业实习长期入住科技小院，全面参与科技小院理论和实践教育，完成毕业论文。</w:t>
      </w:r>
    </w:p>
    <w:p w14:paraId="6E5502C3" w14:textId="77777777" w:rsidR="00C772BF" w:rsidRDefault="00C772BF" w:rsidP="00C772BF">
      <w:pPr>
        <w:rPr>
          <w:rFonts w:ascii="仿宋" w:eastAsia="仿宋" w:hAnsi="仿宋"/>
          <w:sz w:val="28"/>
          <w:szCs w:val="28"/>
        </w:rPr>
      </w:pPr>
      <w:r>
        <w:rPr>
          <w:rFonts w:eastAsia="宋体"/>
          <w:noProof/>
          <w:kern w:val="0"/>
          <w:sz w:val="28"/>
          <w:szCs w:val="28"/>
        </w:rPr>
        <w:drawing>
          <wp:inline distT="0" distB="0" distL="0" distR="0" wp14:anchorId="368A8F84" wp14:editId="7CB086B4">
            <wp:extent cx="5269532" cy="3077570"/>
            <wp:effectExtent l="0" t="0" r="7620" b="0"/>
            <wp:docPr id="4" name="图片 4" descr="d:\Documents\WeChat Files\wxid_6byndmfbucka12\FileStorage\Temp\316f964a1c09bf309c574a22e196cd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Documents\WeChat Files\wxid_6byndmfbucka12\FileStorage\Temp\316f964a1c09bf309c574a22e196cd1.png"/>
                    <pic:cNvPicPr>
                      <a:picLocks noChangeAspect="1" noChangeArrowheads="1"/>
                    </pic:cNvPicPr>
                  </pic:nvPicPr>
                  <pic:blipFill rotWithShape="1">
                    <a:blip r:embed="rId6" cstate="print">
                      <a:extLst>
                        <a:ext uri="{28A0092B-C50C-407E-A947-70E740481C1C}">
                          <a14:useLocalDpi xmlns:a14="http://schemas.microsoft.com/office/drawing/2010/main" val="0"/>
                        </a:ext>
                      </a:extLst>
                    </a:blip>
                    <a:srcRect t="16326"/>
                    <a:stretch/>
                  </pic:blipFill>
                  <pic:spPr bwMode="auto">
                    <a:xfrm>
                      <a:off x="0" y="0"/>
                      <a:ext cx="5274310" cy="3080361"/>
                    </a:xfrm>
                    <a:prstGeom prst="rect">
                      <a:avLst/>
                    </a:prstGeom>
                    <a:noFill/>
                    <a:ln>
                      <a:noFill/>
                    </a:ln>
                    <a:extLst>
                      <a:ext uri="{53640926-AAD7-44D8-BBD7-CCE9431645EC}">
                        <a14:shadowObscured xmlns:a14="http://schemas.microsoft.com/office/drawing/2010/main"/>
                      </a:ext>
                    </a:extLst>
                  </pic:spPr>
                </pic:pic>
              </a:graphicData>
            </a:graphic>
          </wp:inline>
        </w:drawing>
      </w:r>
    </w:p>
    <w:tbl>
      <w:tblPr>
        <w:tblW w:w="4950" w:type="pct"/>
        <w:tblCellMar>
          <w:left w:w="0" w:type="dxa"/>
          <w:right w:w="0" w:type="dxa"/>
        </w:tblCellMar>
        <w:tblLook w:val="04A0" w:firstRow="1" w:lastRow="0" w:firstColumn="1" w:lastColumn="0" w:noHBand="0" w:noVBand="1"/>
      </w:tblPr>
      <w:tblGrid>
        <w:gridCol w:w="824"/>
        <w:gridCol w:w="1645"/>
        <w:gridCol w:w="1506"/>
        <w:gridCol w:w="1511"/>
        <w:gridCol w:w="1229"/>
        <w:gridCol w:w="1508"/>
      </w:tblGrid>
      <w:tr w:rsidR="00C772BF" w:rsidRPr="004714DA" w14:paraId="491D4D99" w14:textId="77777777" w:rsidTr="00E5512D">
        <w:trPr>
          <w:trHeight w:val="830"/>
        </w:trPr>
        <w:tc>
          <w:tcPr>
            <w:tcW w:w="501" w:type="pct"/>
            <w:tcBorders>
              <w:top w:val="single" w:sz="8" w:space="0" w:color="000000"/>
              <w:left w:val="nil"/>
              <w:bottom w:val="single" w:sz="8" w:space="0" w:color="000000"/>
              <w:right w:val="nil"/>
            </w:tcBorders>
            <w:shd w:val="clear" w:color="auto" w:fill="92D050"/>
            <w:tcMar>
              <w:top w:w="72" w:type="dxa"/>
              <w:left w:w="144" w:type="dxa"/>
              <w:bottom w:w="72" w:type="dxa"/>
              <w:right w:w="144" w:type="dxa"/>
            </w:tcMar>
            <w:vAlign w:val="center"/>
          </w:tcPr>
          <w:p w14:paraId="4E57DED0" w14:textId="77777777" w:rsidR="00C772BF" w:rsidRPr="004714DA" w:rsidRDefault="00C772BF" w:rsidP="00E5512D">
            <w:pPr>
              <w:rPr>
                <w:rFonts w:ascii="仿宋" w:eastAsia="仿宋" w:hAnsi="仿宋"/>
                <w:b/>
                <w:sz w:val="24"/>
              </w:rPr>
            </w:pPr>
            <w:r w:rsidRPr="004714DA">
              <w:rPr>
                <w:rFonts w:ascii="仿宋" w:eastAsia="仿宋" w:hAnsi="仿宋"/>
                <w:b/>
                <w:sz w:val="24"/>
              </w:rPr>
              <w:t>项目</w:t>
            </w:r>
          </w:p>
        </w:tc>
        <w:tc>
          <w:tcPr>
            <w:tcW w:w="1000" w:type="pct"/>
            <w:tcBorders>
              <w:top w:val="single" w:sz="8" w:space="0" w:color="000000"/>
              <w:left w:val="nil"/>
              <w:bottom w:val="single" w:sz="8" w:space="0" w:color="000000"/>
              <w:right w:val="nil"/>
            </w:tcBorders>
            <w:shd w:val="clear" w:color="auto" w:fill="92D050"/>
            <w:tcMar>
              <w:top w:w="72" w:type="dxa"/>
              <w:left w:w="144" w:type="dxa"/>
              <w:bottom w:w="72" w:type="dxa"/>
              <w:right w:w="144" w:type="dxa"/>
            </w:tcMar>
            <w:vAlign w:val="center"/>
          </w:tcPr>
          <w:p w14:paraId="1C0BA1AA" w14:textId="77777777" w:rsidR="00C772BF" w:rsidRPr="004714DA" w:rsidRDefault="00C772BF" w:rsidP="00E5512D">
            <w:pPr>
              <w:rPr>
                <w:rFonts w:ascii="仿宋" w:eastAsia="仿宋" w:hAnsi="仿宋"/>
                <w:b/>
                <w:sz w:val="24"/>
              </w:rPr>
            </w:pPr>
            <w:r w:rsidRPr="004714DA">
              <w:rPr>
                <w:rFonts w:ascii="仿宋" w:eastAsia="仿宋" w:hAnsi="仿宋"/>
                <w:b/>
                <w:sz w:val="24"/>
              </w:rPr>
              <w:t>加入科技小院协会</w:t>
            </w:r>
          </w:p>
        </w:tc>
        <w:tc>
          <w:tcPr>
            <w:tcW w:w="916" w:type="pct"/>
            <w:tcBorders>
              <w:top w:val="single" w:sz="8" w:space="0" w:color="000000"/>
              <w:left w:val="nil"/>
              <w:bottom w:val="single" w:sz="8" w:space="0" w:color="000000"/>
              <w:right w:val="nil"/>
            </w:tcBorders>
            <w:shd w:val="clear" w:color="auto" w:fill="92D050"/>
            <w:tcMar>
              <w:top w:w="72" w:type="dxa"/>
              <w:left w:w="144" w:type="dxa"/>
              <w:bottom w:w="72" w:type="dxa"/>
              <w:right w:w="144" w:type="dxa"/>
            </w:tcMar>
            <w:vAlign w:val="center"/>
          </w:tcPr>
          <w:p w14:paraId="0545B0E8" w14:textId="77777777" w:rsidR="00C772BF" w:rsidRPr="004714DA" w:rsidRDefault="00C772BF" w:rsidP="00E5512D">
            <w:pPr>
              <w:rPr>
                <w:rFonts w:ascii="仿宋" w:eastAsia="仿宋" w:hAnsi="仿宋"/>
                <w:b/>
                <w:sz w:val="24"/>
              </w:rPr>
            </w:pPr>
            <w:r w:rsidRPr="004714DA">
              <w:rPr>
                <w:rFonts w:ascii="仿宋" w:eastAsia="仿宋" w:hAnsi="仿宋"/>
                <w:b/>
                <w:sz w:val="24"/>
              </w:rPr>
              <w:t>暑期社会实践</w:t>
            </w:r>
          </w:p>
        </w:tc>
        <w:tc>
          <w:tcPr>
            <w:tcW w:w="919" w:type="pct"/>
            <w:tcBorders>
              <w:top w:val="single" w:sz="8" w:space="0" w:color="000000"/>
              <w:left w:val="nil"/>
              <w:bottom w:val="single" w:sz="8" w:space="0" w:color="000000"/>
              <w:right w:val="nil"/>
            </w:tcBorders>
            <w:shd w:val="clear" w:color="auto" w:fill="92D050"/>
            <w:tcMar>
              <w:top w:w="72" w:type="dxa"/>
              <w:left w:w="144" w:type="dxa"/>
              <w:bottom w:w="72" w:type="dxa"/>
              <w:right w:w="144" w:type="dxa"/>
            </w:tcMar>
            <w:vAlign w:val="center"/>
          </w:tcPr>
          <w:p w14:paraId="5DA065F5" w14:textId="77777777" w:rsidR="00C772BF" w:rsidRPr="004714DA" w:rsidRDefault="00C772BF" w:rsidP="00E5512D">
            <w:pPr>
              <w:rPr>
                <w:rFonts w:ascii="仿宋" w:eastAsia="仿宋" w:hAnsi="仿宋"/>
                <w:b/>
                <w:sz w:val="24"/>
              </w:rPr>
            </w:pPr>
            <w:r w:rsidRPr="004714DA">
              <w:rPr>
                <w:rFonts w:ascii="仿宋" w:eastAsia="仿宋" w:hAnsi="仿宋"/>
                <w:b/>
                <w:sz w:val="24"/>
              </w:rPr>
              <w:t>协会人员考核</w:t>
            </w:r>
          </w:p>
        </w:tc>
        <w:tc>
          <w:tcPr>
            <w:tcW w:w="747" w:type="pct"/>
            <w:tcBorders>
              <w:top w:val="single" w:sz="8" w:space="0" w:color="000000"/>
              <w:left w:val="nil"/>
              <w:bottom w:val="single" w:sz="8" w:space="0" w:color="000000"/>
              <w:right w:val="nil"/>
            </w:tcBorders>
            <w:shd w:val="clear" w:color="auto" w:fill="92D050"/>
            <w:tcMar>
              <w:top w:w="72" w:type="dxa"/>
              <w:left w:w="144" w:type="dxa"/>
              <w:bottom w:w="72" w:type="dxa"/>
              <w:right w:w="144" w:type="dxa"/>
            </w:tcMar>
            <w:vAlign w:val="center"/>
          </w:tcPr>
          <w:p w14:paraId="6D745240" w14:textId="77777777" w:rsidR="00C772BF" w:rsidRPr="004714DA" w:rsidRDefault="00C772BF" w:rsidP="00E5512D">
            <w:pPr>
              <w:rPr>
                <w:rFonts w:ascii="仿宋" w:eastAsia="仿宋" w:hAnsi="仿宋"/>
                <w:b/>
                <w:sz w:val="24"/>
              </w:rPr>
            </w:pPr>
            <w:r w:rsidRPr="004714DA">
              <w:rPr>
                <w:rFonts w:ascii="仿宋" w:eastAsia="仿宋" w:hAnsi="仿宋"/>
                <w:b/>
                <w:sz w:val="24"/>
              </w:rPr>
              <w:t>飞鹰创新训练</w:t>
            </w:r>
          </w:p>
        </w:tc>
        <w:tc>
          <w:tcPr>
            <w:tcW w:w="917" w:type="pct"/>
            <w:tcBorders>
              <w:top w:val="single" w:sz="8" w:space="0" w:color="000000"/>
              <w:left w:val="nil"/>
              <w:bottom w:val="single" w:sz="8" w:space="0" w:color="000000"/>
              <w:right w:val="nil"/>
            </w:tcBorders>
            <w:shd w:val="clear" w:color="auto" w:fill="92D050"/>
            <w:tcMar>
              <w:top w:w="72" w:type="dxa"/>
              <w:left w:w="144" w:type="dxa"/>
              <w:bottom w:w="72" w:type="dxa"/>
              <w:right w:w="144" w:type="dxa"/>
            </w:tcMar>
            <w:vAlign w:val="center"/>
          </w:tcPr>
          <w:p w14:paraId="228450D2" w14:textId="77777777" w:rsidR="00C772BF" w:rsidRPr="004714DA" w:rsidRDefault="00C772BF" w:rsidP="00E5512D">
            <w:pPr>
              <w:rPr>
                <w:rFonts w:ascii="仿宋" w:eastAsia="仿宋" w:hAnsi="仿宋"/>
                <w:b/>
                <w:sz w:val="24"/>
              </w:rPr>
            </w:pPr>
            <w:r w:rsidRPr="004714DA">
              <w:rPr>
                <w:rFonts w:ascii="仿宋" w:eastAsia="仿宋" w:hAnsi="仿宋"/>
                <w:b/>
                <w:sz w:val="24"/>
              </w:rPr>
              <w:t>毕业实习</w:t>
            </w:r>
          </w:p>
        </w:tc>
      </w:tr>
      <w:tr w:rsidR="00C772BF" w:rsidRPr="004714DA" w14:paraId="6D5A542E" w14:textId="77777777" w:rsidTr="00E5512D">
        <w:trPr>
          <w:trHeight w:val="532"/>
        </w:trPr>
        <w:tc>
          <w:tcPr>
            <w:tcW w:w="501" w:type="pct"/>
            <w:tcBorders>
              <w:top w:val="single" w:sz="8" w:space="0" w:color="000000"/>
              <w:left w:val="nil"/>
              <w:bottom w:val="nil"/>
              <w:right w:val="nil"/>
            </w:tcBorders>
            <w:shd w:val="clear" w:color="auto" w:fill="EEECE1"/>
            <w:tcMar>
              <w:top w:w="72" w:type="dxa"/>
              <w:left w:w="144" w:type="dxa"/>
              <w:bottom w:w="72" w:type="dxa"/>
              <w:right w:w="144" w:type="dxa"/>
            </w:tcMar>
            <w:vAlign w:val="center"/>
          </w:tcPr>
          <w:p w14:paraId="0436C119" w14:textId="77777777" w:rsidR="00C772BF" w:rsidRPr="004714DA" w:rsidRDefault="00C772BF" w:rsidP="00E5512D">
            <w:pPr>
              <w:rPr>
                <w:rFonts w:ascii="仿宋" w:eastAsia="仿宋" w:hAnsi="仿宋"/>
                <w:sz w:val="24"/>
              </w:rPr>
            </w:pPr>
            <w:r w:rsidRPr="004714DA">
              <w:rPr>
                <w:rFonts w:ascii="仿宋" w:eastAsia="仿宋" w:hAnsi="仿宋"/>
                <w:sz w:val="24"/>
              </w:rPr>
              <w:t>时间</w:t>
            </w:r>
          </w:p>
        </w:tc>
        <w:tc>
          <w:tcPr>
            <w:tcW w:w="1000" w:type="pct"/>
            <w:tcBorders>
              <w:top w:val="single" w:sz="8" w:space="0" w:color="000000"/>
              <w:left w:val="nil"/>
              <w:bottom w:val="nil"/>
              <w:right w:val="nil"/>
            </w:tcBorders>
            <w:shd w:val="clear" w:color="auto" w:fill="EEECE1"/>
            <w:tcMar>
              <w:top w:w="72" w:type="dxa"/>
              <w:left w:w="144" w:type="dxa"/>
              <w:bottom w:w="72" w:type="dxa"/>
              <w:right w:w="144" w:type="dxa"/>
            </w:tcMar>
            <w:vAlign w:val="center"/>
          </w:tcPr>
          <w:p w14:paraId="439A9FBE" w14:textId="77777777" w:rsidR="00C772BF" w:rsidRPr="004714DA" w:rsidRDefault="00C772BF" w:rsidP="00E5512D">
            <w:pPr>
              <w:rPr>
                <w:rFonts w:ascii="仿宋" w:eastAsia="仿宋" w:hAnsi="仿宋"/>
                <w:sz w:val="24"/>
              </w:rPr>
            </w:pPr>
            <w:r w:rsidRPr="004714DA">
              <w:rPr>
                <w:rFonts w:ascii="仿宋" w:eastAsia="仿宋" w:hAnsi="仿宋"/>
                <w:sz w:val="24"/>
              </w:rPr>
              <w:t>大一上学期</w:t>
            </w:r>
          </w:p>
        </w:tc>
        <w:tc>
          <w:tcPr>
            <w:tcW w:w="916" w:type="pct"/>
            <w:tcBorders>
              <w:top w:val="single" w:sz="8" w:space="0" w:color="000000"/>
              <w:left w:val="nil"/>
              <w:bottom w:val="nil"/>
              <w:right w:val="nil"/>
            </w:tcBorders>
            <w:shd w:val="clear" w:color="auto" w:fill="EEECE1"/>
            <w:tcMar>
              <w:top w:w="72" w:type="dxa"/>
              <w:left w:w="144" w:type="dxa"/>
              <w:bottom w:w="72" w:type="dxa"/>
              <w:right w:w="144" w:type="dxa"/>
            </w:tcMar>
            <w:vAlign w:val="center"/>
          </w:tcPr>
          <w:p w14:paraId="1DEF16B0" w14:textId="77777777" w:rsidR="00C772BF" w:rsidRPr="004714DA" w:rsidRDefault="00C772BF" w:rsidP="00E5512D">
            <w:pPr>
              <w:rPr>
                <w:rFonts w:ascii="仿宋" w:eastAsia="仿宋" w:hAnsi="仿宋"/>
                <w:sz w:val="24"/>
              </w:rPr>
            </w:pPr>
            <w:r w:rsidRPr="004714DA">
              <w:rPr>
                <w:rFonts w:ascii="仿宋" w:eastAsia="仿宋" w:hAnsi="仿宋"/>
                <w:sz w:val="24"/>
              </w:rPr>
              <w:t>大一下学期</w:t>
            </w:r>
          </w:p>
        </w:tc>
        <w:tc>
          <w:tcPr>
            <w:tcW w:w="919" w:type="pct"/>
            <w:tcBorders>
              <w:top w:val="single" w:sz="8" w:space="0" w:color="000000"/>
              <w:left w:val="nil"/>
              <w:bottom w:val="nil"/>
              <w:right w:val="nil"/>
            </w:tcBorders>
            <w:shd w:val="clear" w:color="auto" w:fill="EEECE1"/>
            <w:tcMar>
              <w:top w:w="72" w:type="dxa"/>
              <w:left w:w="144" w:type="dxa"/>
              <w:bottom w:w="72" w:type="dxa"/>
              <w:right w:w="144" w:type="dxa"/>
            </w:tcMar>
            <w:vAlign w:val="center"/>
          </w:tcPr>
          <w:p w14:paraId="78462F88" w14:textId="77777777" w:rsidR="00C772BF" w:rsidRPr="004714DA" w:rsidRDefault="00C772BF" w:rsidP="00E5512D">
            <w:pPr>
              <w:rPr>
                <w:rFonts w:ascii="仿宋" w:eastAsia="仿宋" w:hAnsi="仿宋"/>
                <w:sz w:val="24"/>
              </w:rPr>
            </w:pPr>
            <w:r w:rsidRPr="004714DA">
              <w:rPr>
                <w:rFonts w:ascii="仿宋" w:eastAsia="仿宋" w:hAnsi="仿宋"/>
                <w:sz w:val="24"/>
              </w:rPr>
              <w:t>大二上学期</w:t>
            </w:r>
          </w:p>
        </w:tc>
        <w:tc>
          <w:tcPr>
            <w:tcW w:w="747" w:type="pct"/>
            <w:tcBorders>
              <w:top w:val="single" w:sz="8" w:space="0" w:color="000000"/>
              <w:left w:val="nil"/>
              <w:bottom w:val="nil"/>
              <w:right w:val="nil"/>
            </w:tcBorders>
            <w:shd w:val="clear" w:color="auto" w:fill="EEECE1"/>
            <w:tcMar>
              <w:top w:w="72" w:type="dxa"/>
              <w:left w:w="144" w:type="dxa"/>
              <w:bottom w:w="72" w:type="dxa"/>
              <w:right w:w="144" w:type="dxa"/>
            </w:tcMar>
            <w:vAlign w:val="center"/>
          </w:tcPr>
          <w:p w14:paraId="379A6D31" w14:textId="77777777" w:rsidR="00C772BF" w:rsidRPr="004714DA" w:rsidRDefault="00C772BF" w:rsidP="00E5512D">
            <w:pPr>
              <w:rPr>
                <w:rFonts w:ascii="仿宋" w:eastAsia="仿宋" w:hAnsi="仿宋"/>
                <w:sz w:val="24"/>
              </w:rPr>
            </w:pPr>
            <w:r w:rsidRPr="004714DA">
              <w:rPr>
                <w:rFonts w:ascii="仿宋" w:eastAsia="仿宋" w:hAnsi="仿宋"/>
                <w:sz w:val="24"/>
              </w:rPr>
              <w:t>大二下学期</w:t>
            </w:r>
          </w:p>
        </w:tc>
        <w:tc>
          <w:tcPr>
            <w:tcW w:w="917" w:type="pct"/>
            <w:tcBorders>
              <w:top w:val="single" w:sz="8" w:space="0" w:color="000000"/>
              <w:left w:val="nil"/>
              <w:bottom w:val="nil"/>
              <w:right w:val="nil"/>
            </w:tcBorders>
            <w:shd w:val="clear" w:color="auto" w:fill="EEECE1"/>
            <w:tcMar>
              <w:top w:w="72" w:type="dxa"/>
              <w:left w:w="144" w:type="dxa"/>
              <w:bottom w:w="72" w:type="dxa"/>
              <w:right w:w="144" w:type="dxa"/>
            </w:tcMar>
            <w:vAlign w:val="center"/>
          </w:tcPr>
          <w:p w14:paraId="3A5BC326" w14:textId="77777777" w:rsidR="00C772BF" w:rsidRPr="004714DA" w:rsidRDefault="00C772BF" w:rsidP="00E5512D">
            <w:pPr>
              <w:rPr>
                <w:rFonts w:ascii="仿宋" w:eastAsia="仿宋" w:hAnsi="仿宋"/>
                <w:sz w:val="24"/>
              </w:rPr>
            </w:pPr>
            <w:r w:rsidRPr="004714DA">
              <w:rPr>
                <w:rFonts w:ascii="仿宋" w:eastAsia="仿宋" w:hAnsi="仿宋"/>
                <w:sz w:val="24"/>
              </w:rPr>
              <w:t>大三下学期</w:t>
            </w:r>
          </w:p>
        </w:tc>
      </w:tr>
      <w:tr w:rsidR="00C772BF" w:rsidRPr="004714DA" w14:paraId="27E014B1" w14:textId="77777777" w:rsidTr="00E5512D">
        <w:trPr>
          <w:trHeight w:val="1564"/>
        </w:trPr>
        <w:tc>
          <w:tcPr>
            <w:tcW w:w="501" w:type="pct"/>
            <w:tcBorders>
              <w:top w:val="nil"/>
              <w:left w:val="nil"/>
              <w:bottom w:val="dashSmallGap" w:sz="8" w:space="0" w:color="000000"/>
              <w:right w:val="nil"/>
            </w:tcBorders>
            <w:shd w:val="clear" w:color="auto" w:fill="FFFFFF"/>
            <w:tcMar>
              <w:top w:w="72" w:type="dxa"/>
              <w:left w:w="144" w:type="dxa"/>
              <w:bottom w:w="72" w:type="dxa"/>
              <w:right w:w="144" w:type="dxa"/>
            </w:tcMar>
            <w:vAlign w:val="center"/>
          </w:tcPr>
          <w:p w14:paraId="3D5C5E93" w14:textId="77777777" w:rsidR="00C772BF" w:rsidRPr="004714DA" w:rsidRDefault="00C772BF" w:rsidP="00E5512D">
            <w:pPr>
              <w:rPr>
                <w:rFonts w:ascii="仿宋" w:eastAsia="仿宋" w:hAnsi="仿宋"/>
                <w:sz w:val="24"/>
              </w:rPr>
            </w:pPr>
            <w:r w:rsidRPr="004714DA">
              <w:rPr>
                <w:rFonts w:ascii="仿宋" w:eastAsia="仿宋" w:hAnsi="仿宋"/>
                <w:sz w:val="24"/>
              </w:rPr>
              <w:t>目的</w:t>
            </w:r>
          </w:p>
        </w:tc>
        <w:tc>
          <w:tcPr>
            <w:tcW w:w="1000" w:type="pct"/>
            <w:tcBorders>
              <w:top w:val="nil"/>
              <w:left w:val="nil"/>
              <w:bottom w:val="dashSmallGap" w:sz="8" w:space="0" w:color="000000"/>
              <w:right w:val="nil"/>
            </w:tcBorders>
            <w:shd w:val="clear" w:color="auto" w:fill="FFFFFF"/>
            <w:tcMar>
              <w:top w:w="72" w:type="dxa"/>
              <w:left w:w="144" w:type="dxa"/>
              <w:bottom w:w="72" w:type="dxa"/>
              <w:right w:w="144" w:type="dxa"/>
            </w:tcMar>
            <w:vAlign w:val="center"/>
          </w:tcPr>
          <w:p w14:paraId="1BA4FC9B" w14:textId="77777777" w:rsidR="00C772BF" w:rsidRPr="004714DA" w:rsidRDefault="00C772BF" w:rsidP="00E5512D">
            <w:pPr>
              <w:rPr>
                <w:rFonts w:ascii="仿宋" w:eastAsia="仿宋" w:hAnsi="仿宋"/>
                <w:sz w:val="24"/>
              </w:rPr>
            </w:pPr>
            <w:r w:rsidRPr="004714DA">
              <w:rPr>
                <w:rFonts w:ascii="仿宋" w:eastAsia="仿宋" w:hAnsi="仿宋"/>
                <w:sz w:val="24"/>
              </w:rPr>
              <w:t>了解科技小院</w:t>
            </w:r>
          </w:p>
        </w:tc>
        <w:tc>
          <w:tcPr>
            <w:tcW w:w="916" w:type="pct"/>
            <w:tcBorders>
              <w:top w:val="nil"/>
              <w:left w:val="nil"/>
              <w:bottom w:val="dashSmallGap" w:sz="8" w:space="0" w:color="000000"/>
              <w:right w:val="nil"/>
            </w:tcBorders>
            <w:shd w:val="clear" w:color="auto" w:fill="FFFFFF"/>
            <w:tcMar>
              <w:top w:w="72" w:type="dxa"/>
              <w:left w:w="144" w:type="dxa"/>
              <w:bottom w:w="72" w:type="dxa"/>
              <w:right w:w="144" w:type="dxa"/>
            </w:tcMar>
            <w:vAlign w:val="center"/>
          </w:tcPr>
          <w:p w14:paraId="237B7990" w14:textId="77777777" w:rsidR="00C772BF" w:rsidRPr="004714DA" w:rsidRDefault="00C772BF" w:rsidP="00E5512D">
            <w:pPr>
              <w:rPr>
                <w:rFonts w:ascii="仿宋" w:eastAsia="仿宋" w:hAnsi="仿宋"/>
                <w:sz w:val="24"/>
              </w:rPr>
            </w:pPr>
            <w:r w:rsidRPr="004714DA">
              <w:rPr>
                <w:rFonts w:ascii="仿宋" w:eastAsia="仿宋" w:hAnsi="仿宋"/>
                <w:sz w:val="24"/>
              </w:rPr>
              <w:t>了解农村现状，培养三农情怀</w:t>
            </w:r>
          </w:p>
        </w:tc>
        <w:tc>
          <w:tcPr>
            <w:tcW w:w="919" w:type="pct"/>
            <w:tcBorders>
              <w:top w:val="nil"/>
              <w:left w:val="nil"/>
              <w:bottom w:val="dashSmallGap" w:sz="8" w:space="0" w:color="000000"/>
              <w:right w:val="nil"/>
            </w:tcBorders>
            <w:shd w:val="clear" w:color="auto" w:fill="FFFFFF"/>
            <w:tcMar>
              <w:top w:w="72" w:type="dxa"/>
              <w:left w:w="144" w:type="dxa"/>
              <w:bottom w:w="72" w:type="dxa"/>
              <w:right w:w="144" w:type="dxa"/>
            </w:tcMar>
            <w:vAlign w:val="center"/>
          </w:tcPr>
          <w:p w14:paraId="52F34614" w14:textId="77777777" w:rsidR="00C772BF" w:rsidRPr="004714DA" w:rsidRDefault="00C772BF" w:rsidP="00E5512D">
            <w:pPr>
              <w:rPr>
                <w:rFonts w:ascii="仿宋" w:eastAsia="仿宋" w:hAnsi="仿宋"/>
                <w:sz w:val="24"/>
              </w:rPr>
            </w:pPr>
            <w:r w:rsidRPr="004714DA">
              <w:rPr>
                <w:rFonts w:ascii="仿宋" w:eastAsia="仿宋" w:hAnsi="仿宋"/>
                <w:sz w:val="24"/>
              </w:rPr>
              <w:t>人才选拔，吸纳新会员</w:t>
            </w:r>
          </w:p>
        </w:tc>
        <w:tc>
          <w:tcPr>
            <w:tcW w:w="747" w:type="pct"/>
            <w:tcBorders>
              <w:top w:val="nil"/>
              <w:left w:val="nil"/>
              <w:bottom w:val="dashSmallGap" w:sz="8" w:space="0" w:color="000000"/>
              <w:right w:val="nil"/>
            </w:tcBorders>
            <w:shd w:val="clear" w:color="auto" w:fill="FFFFFF"/>
            <w:tcMar>
              <w:top w:w="72" w:type="dxa"/>
              <w:left w:w="144" w:type="dxa"/>
              <w:bottom w:w="72" w:type="dxa"/>
              <w:right w:w="144" w:type="dxa"/>
            </w:tcMar>
            <w:vAlign w:val="center"/>
          </w:tcPr>
          <w:p w14:paraId="59D45304" w14:textId="77777777" w:rsidR="00C772BF" w:rsidRPr="004714DA" w:rsidRDefault="00C772BF" w:rsidP="00E5512D">
            <w:pPr>
              <w:rPr>
                <w:rFonts w:ascii="仿宋" w:eastAsia="仿宋" w:hAnsi="仿宋"/>
                <w:sz w:val="24"/>
              </w:rPr>
            </w:pPr>
            <w:r w:rsidRPr="004714DA">
              <w:rPr>
                <w:rFonts w:ascii="仿宋" w:eastAsia="仿宋" w:hAnsi="仿宋"/>
                <w:sz w:val="24"/>
              </w:rPr>
              <w:t>探究生产问题，培养科研兴趣</w:t>
            </w:r>
          </w:p>
        </w:tc>
        <w:tc>
          <w:tcPr>
            <w:tcW w:w="917" w:type="pct"/>
            <w:tcBorders>
              <w:top w:val="nil"/>
              <w:left w:val="nil"/>
              <w:bottom w:val="dashSmallGap" w:sz="8" w:space="0" w:color="000000"/>
              <w:right w:val="nil"/>
            </w:tcBorders>
            <w:shd w:val="clear" w:color="auto" w:fill="FFFFFF"/>
            <w:tcMar>
              <w:top w:w="72" w:type="dxa"/>
              <w:left w:w="144" w:type="dxa"/>
              <w:bottom w:w="72" w:type="dxa"/>
              <w:right w:w="144" w:type="dxa"/>
            </w:tcMar>
            <w:vAlign w:val="center"/>
          </w:tcPr>
          <w:p w14:paraId="4181B3EB" w14:textId="77777777" w:rsidR="00C772BF" w:rsidRPr="004714DA" w:rsidRDefault="00C772BF" w:rsidP="00E5512D">
            <w:pPr>
              <w:rPr>
                <w:rFonts w:ascii="仿宋" w:eastAsia="仿宋" w:hAnsi="仿宋"/>
                <w:sz w:val="24"/>
              </w:rPr>
            </w:pPr>
            <w:r w:rsidRPr="004714DA">
              <w:rPr>
                <w:rFonts w:ascii="仿宋" w:eastAsia="仿宋" w:hAnsi="仿宋"/>
                <w:sz w:val="24"/>
              </w:rPr>
              <w:t>提升实践与科研能力，为企事业单位、高等院校输送人才</w:t>
            </w:r>
          </w:p>
        </w:tc>
      </w:tr>
      <w:tr w:rsidR="00C772BF" w:rsidRPr="004714DA" w14:paraId="433664A7" w14:textId="77777777" w:rsidTr="00E5512D">
        <w:trPr>
          <w:trHeight w:val="584"/>
        </w:trPr>
        <w:tc>
          <w:tcPr>
            <w:tcW w:w="501" w:type="pct"/>
            <w:tcBorders>
              <w:top w:val="dashSmallGap" w:sz="8" w:space="0" w:color="000000"/>
              <w:left w:val="nil"/>
              <w:bottom w:val="single" w:sz="8" w:space="0" w:color="000000"/>
              <w:right w:val="nil"/>
            </w:tcBorders>
            <w:shd w:val="clear" w:color="auto" w:fill="FFFFFF"/>
            <w:tcMar>
              <w:top w:w="72" w:type="dxa"/>
              <w:left w:w="144" w:type="dxa"/>
              <w:bottom w:w="72" w:type="dxa"/>
              <w:right w:w="144" w:type="dxa"/>
            </w:tcMar>
            <w:vAlign w:val="center"/>
          </w:tcPr>
          <w:p w14:paraId="5A86875E" w14:textId="77777777" w:rsidR="00C772BF" w:rsidRPr="004714DA" w:rsidRDefault="00C772BF" w:rsidP="00E5512D">
            <w:pPr>
              <w:rPr>
                <w:rFonts w:ascii="仿宋" w:eastAsia="仿宋" w:hAnsi="仿宋"/>
                <w:sz w:val="24"/>
              </w:rPr>
            </w:pPr>
            <w:r w:rsidRPr="004714DA">
              <w:rPr>
                <w:rFonts w:ascii="仿宋" w:eastAsia="仿宋" w:hAnsi="仿宋"/>
                <w:sz w:val="24"/>
              </w:rPr>
              <w:t>活动</w:t>
            </w:r>
          </w:p>
        </w:tc>
        <w:tc>
          <w:tcPr>
            <w:tcW w:w="1000" w:type="pct"/>
            <w:tcBorders>
              <w:top w:val="dashSmallGap" w:sz="8" w:space="0" w:color="000000"/>
              <w:left w:val="nil"/>
              <w:bottom w:val="single" w:sz="8" w:space="0" w:color="000000"/>
              <w:right w:val="nil"/>
            </w:tcBorders>
            <w:shd w:val="clear" w:color="auto" w:fill="FFFFFF"/>
            <w:tcMar>
              <w:top w:w="72" w:type="dxa"/>
              <w:left w:w="144" w:type="dxa"/>
              <w:bottom w:w="72" w:type="dxa"/>
              <w:right w:w="144" w:type="dxa"/>
            </w:tcMar>
            <w:vAlign w:val="center"/>
          </w:tcPr>
          <w:p w14:paraId="7603FC68" w14:textId="77777777" w:rsidR="00C772BF" w:rsidRPr="004714DA" w:rsidRDefault="00C772BF" w:rsidP="00E5512D">
            <w:pPr>
              <w:rPr>
                <w:rFonts w:ascii="仿宋" w:eastAsia="仿宋" w:hAnsi="仿宋"/>
                <w:sz w:val="24"/>
              </w:rPr>
            </w:pPr>
            <w:r w:rsidRPr="004714DA">
              <w:rPr>
                <w:rFonts w:ascii="仿宋" w:eastAsia="仿宋" w:hAnsi="仿宋"/>
                <w:sz w:val="24"/>
              </w:rPr>
              <w:t>种子鉴定比赛；植物缺素症状识别赛；植物连连看；</w:t>
            </w:r>
            <w:r w:rsidRPr="004714DA">
              <w:rPr>
                <w:rFonts w:ascii="仿宋" w:eastAsia="仿宋" w:hAnsi="仿宋"/>
                <w:sz w:val="24"/>
              </w:rPr>
              <w:lastRenderedPageBreak/>
              <w:t>企业家大讲堂；优秀科技小院毕业生报告</w:t>
            </w:r>
          </w:p>
        </w:tc>
        <w:tc>
          <w:tcPr>
            <w:tcW w:w="916" w:type="pct"/>
            <w:tcBorders>
              <w:top w:val="dashSmallGap" w:sz="8" w:space="0" w:color="000000"/>
              <w:left w:val="nil"/>
              <w:bottom w:val="single" w:sz="8" w:space="0" w:color="000000"/>
              <w:right w:val="nil"/>
            </w:tcBorders>
            <w:shd w:val="clear" w:color="auto" w:fill="FFFFFF"/>
            <w:tcMar>
              <w:top w:w="72" w:type="dxa"/>
              <w:left w:w="144" w:type="dxa"/>
              <w:bottom w:w="72" w:type="dxa"/>
              <w:right w:w="144" w:type="dxa"/>
            </w:tcMar>
            <w:vAlign w:val="center"/>
          </w:tcPr>
          <w:p w14:paraId="11F72B21" w14:textId="77777777" w:rsidR="00C772BF" w:rsidRPr="004714DA" w:rsidRDefault="00C772BF" w:rsidP="00E5512D">
            <w:pPr>
              <w:rPr>
                <w:rFonts w:ascii="仿宋" w:eastAsia="仿宋" w:hAnsi="仿宋"/>
                <w:sz w:val="24"/>
              </w:rPr>
            </w:pPr>
            <w:r w:rsidRPr="004714DA">
              <w:rPr>
                <w:rFonts w:ascii="仿宋" w:eastAsia="仿宋" w:hAnsi="仿宋"/>
                <w:sz w:val="24"/>
              </w:rPr>
              <w:lastRenderedPageBreak/>
              <w:t>农村入户问卷调查；农资市场调研；扶贫支</w:t>
            </w:r>
            <w:r w:rsidRPr="004714DA">
              <w:rPr>
                <w:rFonts w:ascii="仿宋" w:eastAsia="仿宋" w:hAnsi="仿宋"/>
                <w:sz w:val="24"/>
              </w:rPr>
              <w:lastRenderedPageBreak/>
              <w:t>教；田间农事操作</w:t>
            </w:r>
          </w:p>
        </w:tc>
        <w:tc>
          <w:tcPr>
            <w:tcW w:w="919" w:type="pct"/>
            <w:tcBorders>
              <w:top w:val="dashSmallGap" w:sz="8" w:space="0" w:color="000000"/>
              <w:left w:val="nil"/>
              <w:bottom w:val="single" w:sz="8" w:space="0" w:color="000000"/>
              <w:right w:val="nil"/>
            </w:tcBorders>
            <w:shd w:val="clear" w:color="auto" w:fill="FFFFFF"/>
            <w:tcMar>
              <w:top w:w="72" w:type="dxa"/>
              <w:left w:w="144" w:type="dxa"/>
              <w:bottom w:w="72" w:type="dxa"/>
              <w:right w:w="144" w:type="dxa"/>
            </w:tcMar>
            <w:vAlign w:val="center"/>
          </w:tcPr>
          <w:p w14:paraId="523E4284" w14:textId="77777777" w:rsidR="00C772BF" w:rsidRPr="004714DA" w:rsidRDefault="00C772BF" w:rsidP="00E5512D">
            <w:pPr>
              <w:rPr>
                <w:rFonts w:ascii="仿宋" w:eastAsia="仿宋" w:hAnsi="仿宋"/>
                <w:sz w:val="24"/>
              </w:rPr>
            </w:pPr>
            <w:r w:rsidRPr="004714DA">
              <w:rPr>
                <w:rFonts w:ascii="仿宋" w:eastAsia="仿宋" w:hAnsi="仿宋"/>
                <w:sz w:val="24"/>
              </w:rPr>
              <w:lastRenderedPageBreak/>
              <w:t>协会干部换届竞选</w:t>
            </w:r>
          </w:p>
        </w:tc>
        <w:tc>
          <w:tcPr>
            <w:tcW w:w="747" w:type="pct"/>
            <w:tcBorders>
              <w:top w:val="dashSmallGap" w:sz="8" w:space="0" w:color="000000"/>
              <w:left w:val="nil"/>
              <w:bottom w:val="single" w:sz="8" w:space="0" w:color="000000"/>
              <w:right w:val="nil"/>
            </w:tcBorders>
            <w:shd w:val="clear" w:color="auto" w:fill="FFFFFF"/>
            <w:tcMar>
              <w:top w:w="72" w:type="dxa"/>
              <w:left w:w="144" w:type="dxa"/>
              <w:bottom w:w="72" w:type="dxa"/>
              <w:right w:w="144" w:type="dxa"/>
            </w:tcMar>
            <w:vAlign w:val="center"/>
          </w:tcPr>
          <w:p w14:paraId="398A9E44" w14:textId="77777777" w:rsidR="00C772BF" w:rsidRPr="004714DA" w:rsidRDefault="00C772BF" w:rsidP="00E5512D">
            <w:pPr>
              <w:rPr>
                <w:rFonts w:ascii="仿宋" w:eastAsia="仿宋" w:hAnsi="仿宋"/>
                <w:sz w:val="24"/>
              </w:rPr>
            </w:pPr>
            <w:r w:rsidRPr="004714DA">
              <w:rPr>
                <w:rFonts w:ascii="仿宋" w:eastAsia="仿宋" w:hAnsi="仿宋"/>
                <w:sz w:val="24"/>
              </w:rPr>
              <w:t>探索农业生产需求；整季作物</w:t>
            </w:r>
            <w:r w:rsidRPr="004714DA">
              <w:rPr>
                <w:rFonts w:ascii="仿宋" w:eastAsia="仿宋" w:hAnsi="仿宋"/>
                <w:sz w:val="24"/>
              </w:rPr>
              <w:lastRenderedPageBreak/>
              <w:t>管理；作物监测；土壤测试</w:t>
            </w:r>
          </w:p>
        </w:tc>
        <w:tc>
          <w:tcPr>
            <w:tcW w:w="917" w:type="pct"/>
            <w:tcBorders>
              <w:top w:val="dashSmallGap" w:sz="8" w:space="0" w:color="000000"/>
              <w:left w:val="nil"/>
              <w:bottom w:val="single" w:sz="8" w:space="0" w:color="000000"/>
              <w:right w:val="nil"/>
            </w:tcBorders>
            <w:shd w:val="clear" w:color="auto" w:fill="FFFFFF"/>
            <w:tcMar>
              <w:top w:w="72" w:type="dxa"/>
              <w:left w:w="144" w:type="dxa"/>
              <w:bottom w:w="72" w:type="dxa"/>
              <w:right w:w="144" w:type="dxa"/>
            </w:tcMar>
            <w:vAlign w:val="center"/>
          </w:tcPr>
          <w:p w14:paraId="15E66827" w14:textId="77777777" w:rsidR="00C772BF" w:rsidRPr="004714DA" w:rsidRDefault="00C772BF" w:rsidP="00E5512D">
            <w:pPr>
              <w:rPr>
                <w:rFonts w:ascii="仿宋" w:eastAsia="仿宋" w:hAnsi="仿宋"/>
                <w:sz w:val="24"/>
              </w:rPr>
            </w:pPr>
            <w:r w:rsidRPr="004714DA">
              <w:rPr>
                <w:rFonts w:ascii="仿宋" w:eastAsia="仿宋" w:hAnsi="仿宋"/>
                <w:sz w:val="24"/>
              </w:rPr>
              <w:lastRenderedPageBreak/>
              <w:t>农民培训；企业培训；田间示范；产品研发；</w:t>
            </w:r>
            <w:r w:rsidRPr="004714DA">
              <w:rPr>
                <w:rFonts w:ascii="仿宋" w:eastAsia="仿宋" w:hAnsi="仿宋"/>
                <w:sz w:val="24"/>
              </w:rPr>
              <w:lastRenderedPageBreak/>
              <w:t>毕业论文</w:t>
            </w:r>
          </w:p>
        </w:tc>
      </w:tr>
    </w:tbl>
    <w:p w14:paraId="18C03542" w14:textId="77777777" w:rsidR="00C772BF" w:rsidRPr="006B3BF2" w:rsidRDefault="00C772BF" w:rsidP="00C772BF">
      <w:pPr>
        <w:spacing w:line="500" w:lineRule="exact"/>
        <w:rPr>
          <w:rFonts w:ascii="仿宋" w:eastAsia="仿宋" w:hAnsi="仿宋"/>
          <w:sz w:val="28"/>
          <w:szCs w:val="28"/>
        </w:rPr>
      </w:pPr>
    </w:p>
    <w:p w14:paraId="20C7EF9B" w14:textId="77777777" w:rsidR="00C772BF" w:rsidRPr="004714DA" w:rsidRDefault="00C772BF" w:rsidP="00C772BF">
      <w:pPr>
        <w:spacing w:line="500" w:lineRule="exact"/>
        <w:rPr>
          <w:rFonts w:ascii="仿宋" w:eastAsia="仿宋" w:hAnsi="仿宋"/>
          <w:b/>
          <w:bCs/>
          <w:kern w:val="0"/>
          <w:sz w:val="28"/>
          <w:szCs w:val="28"/>
        </w:rPr>
      </w:pPr>
      <w:r w:rsidRPr="004714DA">
        <w:rPr>
          <w:rFonts w:ascii="仿宋" w:eastAsia="仿宋" w:hAnsi="仿宋"/>
          <w:b/>
          <w:bCs/>
          <w:kern w:val="0"/>
          <w:sz w:val="28"/>
          <w:szCs w:val="28"/>
        </w:rPr>
        <w:t>2.3</w:t>
      </w:r>
      <w:r w:rsidRPr="004714DA">
        <w:rPr>
          <w:rFonts w:ascii="仿宋" w:eastAsia="仿宋" w:hAnsi="仿宋" w:hint="eastAsia"/>
        </w:rPr>
        <w:t xml:space="preserve"> </w:t>
      </w:r>
      <w:r w:rsidRPr="00446926">
        <w:rPr>
          <w:rFonts w:hAnsi="宋体" w:hint="eastAsia"/>
          <w:b/>
          <w:bCs/>
          <w:sz w:val="28"/>
          <w:szCs w:val="28"/>
        </w:rPr>
        <w:t>开展多元化培养，促进创业就业。</w:t>
      </w:r>
    </w:p>
    <w:p w14:paraId="313FE3DA" w14:textId="77777777" w:rsidR="00C772BF" w:rsidRPr="006B3BF2" w:rsidRDefault="00C772BF" w:rsidP="00C772BF">
      <w:pPr>
        <w:spacing w:line="500" w:lineRule="exact"/>
        <w:ind w:firstLineChars="200" w:firstLine="560"/>
        <w:rPr>
          <w:rFonts w:ascii="仿宋" w:eastAsia="仿宋" w:hAnsi="仿宋"/>
          <w:kern w:val="0"/>
          <w:sz w:val="28"/>
          <w:szCs w:val="28"/>
        </w:rPr>
      </w:pPr>
      <w:r w:rsidRPr="006B3BF2">
        <w:rPr>
          <w:rFonts w:ascii="仿宋" w:eastAsia="仿宋" w:hAnsi="仿宋" w:hint="eastAsia"/>
          <w:bCs/>
          <w:kern w:val="0"/>
          <w:sz w:val="28"/>
          <w:szCs w:val="28"/>
        </w:rPr>
        <w:t>鼓励科技小院复合交叉创新型人才培养模式创新，集实践教学、科学试验、社会服务为一体，有效整合校内外优质资源，构建跨学科、跨领域的教育体系，为学生提供多元化、个性化的实习体验，有效弥补了校内实践不足的短板，在提升学生的创新能力和实践能力的同时，促进知识的跨界融合与应用，为社会培养出一批爱农业、懂技术的应用型农林人才。</w:t>
      </w:r>
    </w:p>
    <w:p w14:paraId="7B14F42A" w14:textId="77777777" w:rsidR="00C772BF" w:rsidRPr="006B3BF2" w:rsidRDefault="00C772BF" w:rsidP="00C772BF">
      <w:pPr>
        <w:spacing w:line="500" w:lineRule="exact"/>
        <w:ind w:firstLineChars="200" w:firstLine="560"/>
        <w:rPr>
          <w:rFonts w:ascii="仿宋" w:eastAsia="仿宋" w:hAnsi="仿宋"/>
          <w:sz w:val="28"/>
          <w:szCs w:val="28"/>
        </w:rPr>
      </w:pPr>
      <w:r w:rsidRPr="006B3BF2">
        <w:rPr>
          <w:rFonts w:ascii="仿宋" w:eastAsia="仿宋" w:hAnsi="仿宋" w:hint="eastAsia"/>
          <w:sz w:val="28"/>
          <w:szCs w:val="28"/>
        </w:rPr>
        <w:t>（1）科技小院+云培训。课上课下，线上线下，校内校外贯通，组织校内外专家、企业家开办科技小院云讲座和企业家大讲堂，拓展教学内容，推动实践教学体系贯通。</w:t>
      </w:r>
    </w:p>
    <w:p w14:paraId="6DE7E485" w14:textId="77777777" w:rsidR="00C772BF" w:rsidRPr="006B3BF2" w:rsidRDefault="00C772BF" w:rsidP="00C772BF">
      <w:pPr>
        <w:spacing w:line="500" w:lineRule="exact"/>
        <w:ind w:firstLineChars="200" w:firstLine="560"/>
        <w:rPr>
          <w:rFonts w:ascii="仿宋" w:eastAsia="仿宋" w:hAnsi="仿宋"/>
          <w:sz w:val="28"/>
          <w:szCs w:val="28"/>
        </w:rPr>
      </w:pPr>
      <w:r w:rsidRPr="006B3BF2">
        <w:rPr>
          <w:rFonts w:ascii="仿宋" w:eastAsia="仿宋" w:hAnsi="仿宋" w:hint="eastAsia"/>
          <w:sz w:val="28"/>
          <w:szCs w:val="28"/>
        </w:rPr>
        <w:t>（2）科技小院+多元化。学生到不同科技小院进行全方位锻炼，进园区、企业、村委，开展被动式、自主式、探究式、体验式等多元化学习，强化</w:t>
      </w:r>
      <w:r w:rsidRPr="006B3BF2">
        <w:rPr>
          <w:rFonts w:ascii="仿宋" w:eastAsia="仿宋" w:hAnsi="仿宋"/>
          <w:sz w:val="28"/>
          <w:szCs w:val="28"/>
        </w:rPr>
        <w:t>学习效果。</w:t>
      </w:r>
    </w:p>
    <w:p w14:paraId="7436A67E" w14:textId="77777777" w:rsidR="00C772BF" w:rsidRPr="006B3BF2" w:rsidRDefault="00C772BF" w:rsidP="00C772BF">
      <w:pPr>
        <w:spacing w:line="500" w:lineRule="exact"/>
        <w:ind w:firstLineChars="200" w:firstLine="560"/>
        <w:rPr>
          <w:rFonts w:ascii="仿宋" w:eastAsia="仿宋" w:hAnsi="仿宋"/>
          <w:sz w:val="28"/>
          <w:szCs w:val="28"/>
        </w:rPr>
      </w:pPr>
      <w:r w:rsidRPr="006B3BF2">
        <w:rPr>
          <w:rFonts w:ascii="仿宋" w:eastAsia="仿宋" w:hAnsi="仿宋" w:hint="eastAsia"/>
          <w:sz w:val="28"/>
          <w:szCs w:val="28"/>
        </w:rPr>
        <w:t>（3）科技小院+跨专业。学生到</w:t>
      </w:r>
      <w:r w:rsidRPr="006B3BF2">
        <w:rPr>
          <w:rFonts w:ascii="仿宋" w:eastAsia="仿宋" w:hAnsi="仿宋"/>
          <w:sz w:val="28"/>
          <w:szCs w:val="28"/>
        </w:rPr>
        <w:t>不同</w:t>
      </w:r>
      <w:r w:rsidRPr="006B3BF2">
        <w:rPr>
          <w:rFonts w:ascii="仿宋" w:eastAsia="仿宋" w:hAnsi="仿宋" w:hint="eastAsia"/>
          <w:sz w:val="28"/>
          <w:szCs w:val="28"/>
        </w:rPr>
        <w:t>功能</w:t>
      </w:r>
      <w:r w:rsidRPr="006B3BF2">
        <w:rPr>
          <w:rFonts w:ascii="仿宋" w:eastAsia="仿宋" w:hAnsi="仿宋"/>
          <w:sz w:val="28"/>
          <w:szCs w:val="28"/>
        </w:rPr>
        <w:t>定位的科技小院学习</w:t>
      </w:r>
      <w:r w:rsidRPr="006B3BF2">
        <w:rPr>
          <w:rFonts w:ascii="仿宋" w:eastAsia="仿宋" w:hAnsi="仿宋" w:hint="eastAsia"/>
          <w:sz w:val="28"/>
          <w:szCs w:val="28"/>
        </w:rPr>
        <w:t>，专业知识、行业知识、产业知识等多领域贯通。</w:t>
      </w:r>
    </w:p>
    <w:p w14:paraId="6F9E2A6E" w14:textId="77777777" w:rsidR="00C772BF" w:rsidRPr="006B3BF2" w:rsidRDefault="00C772BF" w:rsidP="00C772BF">
      <w:pPr>
        <w:spacing w:line="500" w:lineRule="exact"/>
        <w:ind w:firstLineChars="200" w:firstLine="560"/>
        <w:rPr>
          <w:rFonts w:ascii="仿宋" w:eastAsia="仿宋" w:hAnsi="仿宋"/>
          <w:sz w:val="28"/>
          <w:szCs w:val="28"/>
        </w:rPr>
      </w:pPr>
      <w:r w:rsidRPr="006B3BF2">
        <w:rPr>
          <w:rFonts w:ascii="仿宋" w:eastAsia="仿宋" w:hAnsi="仿宋" w:hint="eastAsia"/>
          <w:sz w:val="28"/>
          <w:szCs w:val="28"/>
        </w:rPr>
        <w:t>（4）科技小院+多导师。校内导师、校外导师、理论导师、实践导师、企业导师</w:t>
      </w:r>
      <w:r w:rsidRPr="006B3BF2">
        <w:rPr>
          <w:rFonts w:ascii="仿宋" w:eastAsia="仿宋" w:hAnsi="仿宋"/>
          <w:sz w:val="28"/>
          <w:szCs w:val="28"/>
        </w:rPr>
        <w:t>等</w:t>
      </w:r>
      <w:r w:rsidRPr="006B3BF2">
        <w:rPr>
          <w:rFonts w:ascii="仿宋" w:eastAsia="仿宋" w:hAnsi="仿宋" w:hint="eastAsia"/>
          <w:sz w:val="28"/>
          <w:szCs w:val="28"/>
        </w:rPr>
        <w:t>多导师</w:t>
      </w:r>
      <w:r w:rsidRPr="006B3BF2">
        <w:rPr>
          <w:rFonts w:ascii="仿宋" w:eastAsia="仿宋" w:hAnsi="仿宋"/>
          <w:sz w:val="28"/>
          <w:szCs w:val="28"/>
        </w:rPr>
        <w:t>指导。</w:t>
      </w:r>
    </w:p>
    <w:p w14:paraId="21CEA524" w14:textId="77777777" w:rsidR="00C772BF" w:rsidRPr="004714DA" w:rsidRDefault="00C772BF" w:rsidP="00C772BF">
      <w:pPr>
        <w:spacing w:line="500" w:lineRule="exact"/>
        <w:rPr>
          <w:rFonts w:ascii="仿宋" w:eastAsia="仿宋" w:hAnsi="仿宋"/>
          <w:b/>
          <w:sz w:val="28"/>
          <w:szCs w:val="28"/>
        </w:rPr>
      </w:pPr>
      <w:r>
        <w:rPr>
          <w:rFonts w:ascii="仿宋" w:eastAsia="仿宋" w:hAnsi="仿宋"/>
          <w:b/>
          <w:bCs/>
          <w:kern w:val="0"/>
          <w:sz w:val="28"/>
          <w:szCs w:val="28"/>
        </w:rPr>
        <w:t>2.4</w:t>
      </w:r>
      <w:r w:rsidRPr="00446926">
        <w:rPr>
          <w:rFonts w:hAnsi="宋体"/>
          <w:b/>
          <w:bCs/>
          <w:sz w:val="28"/>
          <w:szCs w:val="28"/>
        </w:rPr>
        <w:t>建立多元化评价</w:t>
      </w:r>
      <w:r w:rsidRPr="00446926">
        <w:rPr>
          <w:rFonts w:hAnsi="宋体" w:hint="eastAsia"/>
          <w:b/>
          <w:bCs/>
          <w:sz w:val="28"/>
          <w:szCs w:val="28"/>
        </w:rPr>
        <w:t>和</w:t>
      </w:r>
      <w:r>
        <w:rPr>
          <w:rFonts w:hAnsi="宋体" w:hint="eastAsia"/>
          <w:b/>
          <w:bCs/>
          <w:sz w:val="28"/>
          <w:szCs w:val="28"/>
        </w:rPr>
        <w:t>多层次</w:t>
      </w:r>
      <w:r w:rsidRPr="00446926">
        <w:rPr>
          <w:rFonts w:hAnsi="宋体" w:hint="eastAsia"/>
          <w:b/>
          <w:bCs/>
          <w:sz w:val="28"/>
          <w:szCs w:val="28"/>
        </w:rPr>
        <w:t>保障机制</w:t>
      </w:r>
      <w:r w:rsidRPr="00446926">
        <w:rPr>
          <w:rFonts w:hAnsi="宋体"/>
          <w:b/>
          <w:bCs/>
          <w:sz w:val="28"/>
          <w:szCs w:val="28"/>
        </w:rPr>
        <w:t>，培养</w:t>
      </w:r>
      <w:r w:rsidRPr="00446926">
        <w:rPr>
          <w:rFonts w:hAnsi="宋体" w:hint="eastAsia"/>
          <w:b/>
          <w:bCs/>
          <w:sz w:val="28"/>
          <w:szCs w:val="28"/>
        </w:rPr>
        <w:t>复合型多样化</w:t>
      </w:r>
      <w:r w:rsidRPr="00446926">
        <w:rPr>
          <w:rFonts w:hAnsi="宋体"/>
          <w:b/>
          <w:bCs/>
          <w:sz w:val="28"/>
          <w:szCs w:val="28"/>
        </w:rPr>
        <w:t>人才</w:t>
      </w:r>
      <w:r w:rsidRPr="00446926">
        <w:rPr>
          <w:rFonts w:hAnsi="宋体" w:hint="eastAsia"/>
          <w:b/>
          <w:bCs/>
          <w:sz w:val="28"/>
          <w:szCs w:val="28"/>
        </w:rPr>
        <w:t>。</w:t>
      </w:r>
    </w:p>
    <w:p w14:paraId="0FA20E34" w14:textId="77777777" w:rsidR="00C772BF" w:rsidRPr="00446926" w:rsidRDefault="00C772BF" w:rsidP="00C772BF">
      <w:pPr>
        <w:autoSpaceDE w:val="0"/>
        <w:autoSpaceDN w:val="0"/>
        <w:spacing w:line="500" w:lineRule="exact"/>
        <w:ind w:firstLineChars="200" w:firstLine="560"/>
        <w:rPr>
          <w:rFonts w:hAnsi="宋体"/>
          <w:sz w:val="28"/>
          <w:szCs w:val="28"/>
        </w:rPr>
      </w:pPr>
      <w:r w:rsidRPr="00446926">
        <w:rPr>
          <w:rFonts w:hAnsi="宋体"/>
          <w:sz w:val="28"/>
          <w:szCs w:val="28"/>
        </w:rPr>
        <w:t>（</w:t>
      </w:r>
      <w:r w:rsidRPr="00446926">
        <w:rPr>
          <w:rFonts w:hAnsi="宋体"/>
          <w:sz w:val="28"/>
          <w:szCs w:val="28"/>
        </w:rPr>
        <w:t>1</w:t>
      </w:r>
      <w:r w:rsidRPr="00446926">
        <w:rPr>
          <w:rFonts w:hAnsi="宋体"/>
          <w:sz w:val="28"/>
          <w:szCs w:val="28"/>
        </w:rPr>
        <w:t>）全过程评价。产前、产中、产后全过程考核。</w:t>
      </w:r>
    </w:p>
    <w:p w14:paraId="5707963D" w14:textId="77777777" w:rsidR="00C772BF" w:rsidRPr="00446926" w:rsidRDefault="00C772BF" w:rsidP="00C772BF">
      <w:pPr>
        <w:autoSpaceDE w:val="0"/>
        <w:autoSpaceDN w:val="0"/>
        <w:spacing w:line="500" w:lineRule="exact"/>
        <w:ind w:firstLineChars="200" w:firstLine="560"/>
        <w:rPr>
          <w:rFonts w:hAnsi="宋体"/>
          <w:sz w:val="28"/>
          <w:szCs w:val="28"/>
        </w:rPr>
      </w:pPr>
      <w:r w:rsidRPr="00446926">
        <w:rPr>
          <w:rFonts w:hAnsi="宋体"/>
          <w:sz w:val="28"/>
          <w:szCs w:val="28"/>
        </w:rPr>
        <w:t>（</w:t>
      </w:r>
      <w:r w:rsidRPr="00446926">
        <w:rPr>
          <w:rFonts w:hAnsi="宋体"/>
          <w:sz w:val="28"/>
          <w:szCs w:val="28"/>
        </w:rPr>
        <w:t>2</w:t>
      </w:r>
      <w:r w:rsidRPr="00446926">
        <w:rPr>
          <w:rFonts w:hAnsi="宋体"/>
          <w:sz w:val="28"/>
          <w:szCs w:val="28"/>
        </w:rPr>
        <w:t>）多主体评价。政府、企业、学校等多主体考核。</w:t>
      </w:r>
    </w:p>
    <w:p w14:paraId="591B8896" w14:textId="77777777" w:rsidR="00C772BF" w:rsidRPr="00446926" w:rsidRDefault="00C772BF" w:rsidP="00C772BF">
      <w:pPr>
        <w:autoSpaceDE w:val="0"/>
        <w:autoSpaceDN w:val="0"/>
        <w:spacing w:line="500" w:lineRule="exact"/>
        <w:ind w:firstLineChars="200" w:firstLine="560"/>
        <w:rPr>
          <w:rFonts w:hAnsi="宋体"/>
          <w:sz w:val="28"/>
          <w:szCs w:val="28"/>
        </w:rPr>
      </w:pPr>
      <w:r w:rsidRPr="00446926">
        <w:rPr>
          <w:rFonts w:hAnsi="宋体"/>
          <w:sz w:val="28"/>
          <w:szCs w:val="28"/>
        </w:rPr>
        <w:t>（</w:t>
      </w:r>
      <w:r w:rsidRPr="00446926">
        <w:rPr>
          <w:rFonts w:hAnsi="宋体"/>
          <w:sz w:val="28"/>
          <w:szCs w:val="28"/>
        </w:rPr>
        <w:t>3</w:t>
      </w:r>
      <w:r w:rsidRPr="00446926">
        <w:rPr>
          <w:rFonts w:hAnsi="宋体"/>
          <w:sz w:val="28"/>
          <w:szCs w:val="28"/>
        </w:rPr>
        <w:t>）多能力评价。检验学生生活、实践、创新</w:t>
      </w:r>
      <w:r w:rsidRPr="00446926">
        <w:rPr>
          <w:rFonts w:hAnsi="宋体" w:hint="eastAsia"/>
          <w:sz w:val="28"/>
          <w:szCs w:val="28"/>
        </w:rPr>
        <w:t>、创业</w:t>
      </w:r>
      <w:r w:rsidRPr="00446926">
        <w:rPr>
          <w:rFonts w:hAnsi="宋体"/>
          <w:sz w:val="28"/>
          <w:szCs w:val="28"/>
        </w:rPr>
        <w:t>能力。</w:t>
      </w:r>
    </w:p>
    <w:p w14:paraId="1053C7F3" w14:textId="77777777" w:rsidR="00C772BF" w:rsidRPr="00446926" w:rsidRDefault="00C772BF" w:rsidP="00C772BF">
      <w:pPr>
        <w:autoSpaceDE w:val="0"/>
        <w:autoSpaceDN w:val="0"/>
        <w:spacing w:line="500" w:lineRule="exact"/>
        <w:ind w:firstLineChars="200" w:firstLine="560"/>
        <w:rPr>
          <w:rFonts w:hAnsi="宋体"/>
          <w:sz w:val="28"/>
          <w:szCs w:val="28"/>
        </w:rPr>
      </w:pPr>
      <w:r w:rsidRPr="00446926">
        <w:rPr>
          <w:rFonts w:hAnsi="宋体"/>
          <w:sz w:val="28"/>
          <w:szCs w:val="28"/>
        </w:rPr>
        <w:t>（</w:t>
      </w:r>
      <w:r w:rsidRPr="00446926">
        <w:rPr>
          <w:rFonts w:hAnsi="宋体"/>
          <w:sz w:val="28"/>
          <w:szCs w:val="28"/>
        </w:rPr>
        <w:t>4</w:t>
      </w:r>
      <w:r w:rsidRPr="00446926">
        <w:rPr>
          <w:rFonts w:hAnsi="宋体"/>
          <w:sz w:val="28"/>
          <w:szCs w:val="28"/>
        </w:rPr>
        <w:t>）多环节评价。考查</w:t>
      </w:r>
      <w:r w:rsidRPr="00446926">
        <w:rPr>
          <w:rFonts w:hAnsi="宋体" w:hint="eastAsia"/>
          <w:sz w:val="28"/>
          <w:szCs w:val="28"/>
        </w:rPr>
        <w:t>社会</w:t>
      </w:r>
      <w:r w:rsidRPr="00446926">
        <w:rPr>
          <w:rFonts w:hAnsi="宋体"/>
          <w:sz w:val="28"/>
          <w:szCs w:val="28"/>
        </w:rPr>
        <w:t>调研、</w:t>
      </w:r>
      <w:r w:rsidRPr="00446926">
        <w:rPr>
          <w:rFonts w:hAnsi="宋体" w:hint="eastAsia"/>
          <w:sz w:val="28"/>
          <w:szCs w:val="28"/>
        </w:rPr>
        <w:t>科学研究</w:t>
      </w:r>
      <w:r w:rsidRPr="00446926">
        <w:rPr>
          <w:rFonts w:hAnsi="宋体"/>
          <w:sz w:val="28"/>
          <w:szCs w:val="28"/>
        </w:rPr>
        <w:t>、技术培训、示范推广等多个环节。</w:t>
      </w:r>
    </w:p>
    <w:p w14:paraId="792A6681" w14:textId="77777777" w:rsidR="00C772BF" w:rsidRPr="00446926" w:rsidRDefault="00C772BF" w:rsidP="00C772BF">
      <w:pPr>
        <w:autoSpaceDE w:val="0"/>
        <w:autoSpaceDN w:val="0"/>
        <w:spacing w:line="500" w:lineRule="exact"/>
        <w:ind w:firstLineChars="200" w:firstLine="560"/>
        <w:rPr>
          <w:rFonts w:hAnsi="宋体"/>
          <w:sz w:val="28"/>
          <w:szCs w:val="28"/>
        </w:rPr>
      </w:pPr>
      <w:r w:rsidRPr="00446926">
        <w:rPr>
          <w:rFonts w:hAnsi="宋体"/>
          <w:sz w:val="28"/>
          <w:szCs w:val="28"/>
        </w:rPr>
        <w:t>（</w:t>
      </w:r>
      <w:r w:rsidRPr="00446926">
        <w:rPr>
          <w:rFonts w:hAnsi="宋体"/>
          <w:sz w:val="28"/>
          <w:szCs w:val="28"/>
        </w:rPr>
        <w:t>5</w:t>
      </w:r>
      <w:r w:rsidRPr="00446926">
        <w:rPr>
          <w:rFonts w:hAnsi="宋体"/>
          <w:sz w:val="28"/>
          <w:szCs w:val="28"/>
        </w:rPr>
        <w:t>）多途径评价。</w:t>
      </w:r>
      <w:r w:rsidRPr="00446926">
        <w:rPr>
          <w:rFonts w:hAnsi="宋体" w:hint="eastAsia"/>
          <w:sz w:val="28"/>
          <w:szCs w:val="28"/>
        </w:rPr>
        <w:t>理论知识、科研创新、学科竞赛、创业能力、</w:t>
      </w:r>
      <w:r w:rsidRPr="00446926">
        <w:rPr>
          <w:rFonts w:hAnsi="宋体" w:hint="eastAsia"/>
          <w:sz w:val="28"/>
          <w:szCs w:val="28"/>
        </w:rPr>
        <w:lastRenderedPageBreak/>
        <w:t>组织沟</w:t>
      </w:r>
      <w:r>
        <w:rPr>
          <w:rFonts w:hAnsi="宋体" w:hint="eastAsia"/>
          <w:sz w:val="28"/>
          <w:szCs w:val="28"/>
        </w:rPr>
        <w:t>等</w:t>
      </w:r>
      <w:r>
        <w:rPr>
          <w:rFonts w:hAnsi="宋体"/>
          <w:sz w:val="28"/>
          <w:szCs w:val="28"/>
        </w:rPr>
        <w:t>多个途径。</w:t>
      </w:r>
    </w:p>
    <w:p w14:paraId="6AAB49AA" w14:textId="77777777" w:rsidR="00C772BF" w:rsidRDefault="00C772BF" w:rsidP="00C772BF">
      <w:pPr>
        <w:autoSpaceDE w:val="0"/>
        <w:autoSpaceDN w:val="0"/>
        <w:spacing w:line="500" w:lineRule="exact"/>
        <w:ind w:firstLineChars="200" w:firstLine="560"/>
        <w:rPr>
          <w:rFonts w:hAnsi="宋体"/>
          <w:sz w:val="28"/>
          <w:szCs w:val="28"/>
        </w:rPr>
      </w:pPr>
      <w:r w:rsidRPr="00446926">
        <w:rPr>
          <w:rFonts w:hAnsi="宋体" w:hint="eastAsia"/>
          <w:sz w:val="28"/>
          <w:szCs w:val="28"/>
        </w:rPr>
        <w:t>（</w:t>
      </w:r>
      <w:r w:rsidRPr="00446926">
        <w:rPr>
          <w:rFonts w:hAnsi="宋体" w:hint="eastAsia"/>
          <w:sz w:val="28"/>
          <w:szCs w:val="28"/>
        </w:rPr>
        <w:t>6</w:t>
      </w:r>
      <w:r w:rsidRPr="00446926">
        <w:rPr>
          <w:rFonts w:hAnsi="宋体" w:hint="eastAsia"/>
          <w:sz w:val="28"/>
          <w:szCs w:val="28"/>
        </w:rPr>
        <w:t>）多层次保障。安全保障、生活保障、学习保障、工作保障</w:t>
      </w:r>
      <w:r>
        <w:rPr>
          <w:rFonts w:hAnsi="宋体" w:hint="eastAsia"/>
          <w:sz w:val="28"/>
          <w:szCs w:val="28"/>
        </w:rPr>
        <w:t>等多个保障</w:t>
      </w:r>
      <w:r>
        <w:rPr>
          <w:rFonts w:hAnsi="宋体"/>
          <w:sz w:val="28"/>
          <w:szCs w:val="28"/>
        </w:rPr>
        <w:t>机制。</w:t>
      </w:r>
    </w:p>
    <w:p w14:paraId="4835E0B0" w14:textId="77777777" w:rsidR="00C772BF" w:rsidRPr="004714DA" w:rsidRDefault="00C772BF" w:rsidP="00C772BF">
      <w:pPr>
        <w:spacing w:line="500" w:lineRule="exact"/>
        <w:rPr>
          <w:rFonts w:ascii="仿宋" w:eastAsia="仿宋" w:hAnsi="仿宋"/>
          <w:b/>
          <w:bCs/>
          <w:kern w:val="0"/>
          <w:sz w:val="28"/>
          <w:szCs w:val="28"/>
        </w:rPr>
      </w:pPr>
      <w:r>
        <w:rPr>
          <w:rFonts w:ascii="仿宋" w:eastAsia="仿宋" w:hAnsi="仿宋"/>
          <w:b/>
          <w:bCs/>
          <w:kern w:val="0"/>
          <w:sz w:val="28"/>
          <w:szCs w:val="28"/>
        </w:rPr>
        <w:t>2.5</w:t>
      </w:r>
      <w:r w:rsidRPr="004714DA">
        <w:rPr>
          <w:rFonts w:ascii="仿宋" w:eastAsia="仿宋" w:hAnsi="仿宋"/>
          <w:b/>
          <w:bCs/>
          <w:kern w:val="0"/>
          <w:sz w:val="28"/>
          <w:szCs w:val="28"/>
        </w:rPr>
        <w:t xml:space="preserve"> 搭建开放式育人平台，深化产学研融合</w:t>
      </w:r>
    </w:p>
    <w:p w14:paraId="55F9A949" w14:textId="77777777" w:rsidR="00C772BF" w:rsidRPr="004714DA" w:rsidRDefault="00C772BF" w:rsidP="00C772BF">
      <w:pPr>
        <w:spacing w:line="500" w:lineRule="exact"/>
        <w:ind w:firstLineChars="200" w:firstLine="562"/>
        <w:rPr>
          <w:rFonts w:ascii="仿宋" w:eastAsia="仿宋" w:hAnsi="仿宋"/>
          <w:kern w:val="0"/>
          <w:sz w:val="28"/>
          <w:szCs w:val="28"/>
        </w:rPr>
      </w:pPr>
      <w:r w:rsidRPr="004714DA">
        <w:rPr>
          <w:rFonts w:ascii="仿宋" w:eastAsia="仿宋" w:hAnsi="仿宋"/>
          <w:b/>
          <w:bCs/>
          <w:kern w:val="0"/>
          <w:sz w:val="28"/>
          <w:szCs w:val="28"/>
        </w:rPr>
        <w:t>（1）搭建开放式育人平台</w:t>
      </w:r>
      <w:r w:rsidRPr="004714DA">
        <w:rPr>
          <w:rFonts w:ascii="仿宋" w:eastAsia="仿宋" w:hAnsi="仿宋"/>
          <w:kern w:val="0"/>
          <w:sz w:val="28"/>
          <w:szCs w:val="28"/>
        </w:rPr>
        <w:t>。建立大学生农林产教融合基地、耕读教育基地、肥料产业学院、氮肥高效利用创新中心等产教融合和开放式育人平台。</w:t>
      </w:r>
    </w:p>
    <w:p w14:paraId="65E03E31" w14:textId="77777777" w:rsidR="00C772BF" w:rsidRPr="004714DA" w:rsidRDefault="00C772BF" w:rsidP="00C772BF">
      <w:pPr>
        <w:spacing w:line="500" w:lineRule="exact"/>
        <w:ind w:firstLineChars="200" w:firstLine="562"/>
        <w:rPr>
          <w:rFonts w:ascii="仿宋" w:eastAsia="仿宋" w:hAnsi="仿宋"/>
          <w:kern w:val="0"/>
          <w:sz w:val="28"/>
          <w:szCs w:val="28"/>
        </w:rPr>
      </w:pPr>
      <w:r w:rsidRPr="004714DA">
        <w:rPr>
          <w:rFonts w:ascii="仿宋" w:eastAsia="仿宋" w:hAnsi="仿宋"/>
          <w:b/>
          <w:bCs/>
          <w:kern w:val="0"/>
          <w:sz w:val="28"/>
          <w:szCs w:val="28"/>
        </w:rPr>
        <w:t>（2）促进产学研深度融合</w:t>
      </w:r>
      <w:r w:rsidRPr="004714DA">
        <w:rPr>
          <w:rFonts w:ascii="仿宋" w:eastAsia="仿宋" w:hAnsi="仿宋"/>
          <w:kern w:val="0"/>
          <w:sz w:val="28"/>
          <w:szCs w:val="28"/>
        </w:rPr>
        <w:t>。实行学校与企业互聘导师和专家，建立与企业联合培养</w:t>
      </w:r>
      <w:r w:rsidRPr="004714DA">
        <w:rPr>
          <w:rFonts w:ascii="仿宋" w:eastAsia="仿宋" w:hAnsi="仿宋" w:hint="eastAsia"/>
          <w:kern w:val="0"/>
          <w:sz w:val="28"/>
          <w:szCs w:val="28"/>
        </w:rPr>
        <w:t>大学生</w:t>
      </w:r>
      <w:r w:rsidRPr="004714DA">
        <w:rPr>
          <w:rFonts w:ascii="仿宋" w:eastAsia="仿宋" w:hAnsi="仿宋"/>
          <w:kern w:val="0"/>
          <w:sz w:val="28"/>
          <w:szCs w:val="28"/>
        </w:rPr>
        <w:t>的制度；与企业联合申报国家科研项目；企业为科技小院设立专项课题、创新创业奖学金，学生毕业课题以企业需求为出发点，共同制定研发计划，共同参加考核答辩。学生到企业实习实践，毕业的学生</w:t>
      </w:r>
      <w:r w:rsidRPr="004714DA">
        <w:rPr>
          <w:rFonts w:ascii="仿宋" w:eastAsia="仿宋" w:hAnsi="仿宋" w:hint="eastAsia"/>
          <w:kern w:val="0"/>
          <w:sz w:val="28"/>
          <w:szCs w:val="28"/>
        </w:rPr>
        <w:t>被</w:t>
      </w:r>
      <w:r w:rsidRPr="004714DA">
        <w:rPr>
          <w:rFonts w:ascii="仿宋" w:eastAsia="仿宋" w:hAnsi="仿宋"/>
          <w:kern w:val="0"/>
          <w:sz w:val="28"/>
          <w:szCs w:val="28"/>
        </w:rPr>
        <w:t>企业优先录用，提高学校人才培养质量，提升企业科技竞争力，促进学生高质量就业创业。</w:t>
      </w:r>
    </w:p>
    <w:p w14:paraId="66BED47C" w14:textId="77777777" w:rsidR="00C772BF" w:rsidRPr="004714DA" w:rsidRDefault="00C772BF" w:rsidP="00C772BF">
      <w:pPr>
        <w:spacing w:line="500" w:lineRule="exact"/>
        <w:rPr>
          <w:rFonts w:ascii="仿宋" w:eastAsia="仿宋" w:hAnsi="仿宋"/>
          <w:b/>
          <w:bCs/>
          <w:kern w:val="0"/>
          <w:sz w:val="32"/>
          <w:szCs w:val="32"/>
        </w:rPr>
      </w:pPr>
      <w:r w:rsidRPr="004714DA">
        <w:rPr>
          <w:rFonts w:ascii="仿宋" w:eastAsia="仿宋" w:hAnsi="仿宋"/>
          <w:b/>
          <w:bCs/>
          <w:kern w:val="0"/>
          <w:sz w:val="32"/>
          <w:szCs w:val="32"/>
        </w:rPr>
        <w:t>3、成果的创新点</w:t>
      </w:r>
    </w:p>
    <w:p w14:paraId="41EA8E76" w14:textId="77777777" w:rsidR="00C772BF" w:rsidRPr="004714DA" w:rsidRDefault="00C772BF" w:rsidP="00C772BF">
      <w:pPr>
        <w:spacing w:line="500" w:lineRule="exact"/>
        <w:ind w:firstLineChars="200" w:firstLine="562"/>
        <w:rPr>
          <w:rFonts w:ascii="仿宋" w:eastAsia="仿宋" w:hAnsi="仿宋"/>
          <w:bCs/>
          <w:kern w:val="0"/>
          <w:sz w:val="28"/>
          <w:szCs w:val="28"/>
        </w:rPr>
      </w:pPr>
      <w:r w:rsidRPr="004714DA">
        <w:rPr>
          <w:rFonts w:ascii="仿宋" w:eastAsia="仿宋" w:hAnsi="仿宋" w:hint="eastAsia"/>
          <w:b/>
          <w:bCs/>
          <w:kern w:val="0"/>
          <w:sz w:val="28"/>
          <w:szCs w:val="28"/>
        </w:rPr>
        <w:t>（1）</w:t>
      </w:r>
      <w:r w:rsidRPr="00E64794">
        <w:rPr>
          <w:rFonts w:hAnsi="宋体" w:hint="eastAsia"/>
          <w:b/>
          <w:bCs/>
          <w:sz w:val="28"/>
          <w:szCs w:val="28"/>
        </w:rPr>
        <w:t>建</w:t>
      </w:r>
      <w:r w:rsidRPr="00E64794">
        <w:rPr>
          <w:rFonts w:hAnsi="宋体"/>
          <w:b/>
          <w:bCs/>
          <w:sz w:val="28"/>
          <w:szCs w:val="28"/>
        </w:rPr>
        <w:t>大学生为</w:t>
      </w:r>
      <w:r w:rsidRPr="00E64794">
        <w:rPr>
          <w:rFonts w:hAnsi="宋体" w:hint="eastAsia"/>
          <w:b/>
          <w:bCs/>
          <w:sz w:val="28"/>
          <w:szCs w:val="28"/>
        </w:rPr>
        <w:t>主体</w:t>
      </w:r>
      <w:r w:rsidRPr="00E64794">
        <w:rPr>
          <w:rFonts w:hAnsi="宋体"/>
          <w:b/>
          <w:bCs/>
          <w:sz w:val="28"/>
          <w:szCs w:val="28"/>
        </w:rPr>
        <w:t>的</w:t>
      </w:r>
      <w:r w:rsidRPr="00E64794">
        <w:rPr>
          <w:rFonts w:hAnsi="宋体" w:hint="eastAsia"/>
          <w:b/>
          <w:bCs/>
          <w:sz w:val="28"/>
          <w:szCs w:val="28"/>
        </w:rPr>
        <w:t>科技小院，建立大学生多元化人才培养基地</w:t>
      </w:r>
      <w:r w:rsidRPr="00E64794">
        <w:rPr>
          <w:rFonts w:ascii="宋体" w:hAnsi="宋体" w:hint="eastAsia"/>
          <w:sz w:val="28"/>
          <w:szCs w:val="32"/>
        </w:rPr>
        <w:t>。</w:t>
      </w:r>
      <w:r w:rsidRPr="004714DA">
        <w:rPr>
          <w:rFonts w:ascii="仿宋" w:eastAsia="仿宋" w:hAnsi="仿宋" w:hint="eastAsia"/>
          <w:bCs/>
          <w:kern w:val="0"/>
          <w:sz w:val="28"/>
          <w:szCs w:val="28"/>
        </w:rPr>
        <w:t>针对地方院校研究生数量不足的情况，在全国第一个建立以大学生为主体的科技小院，探索和实践科技小院大学生人才培养模式，有效解决地方院校科技小院高效运行的可持续性，在省内外高校广泛推广。</w:t>
      </w:r>
      <w:r w:rsidRPr="004714DA">
        <w:rPr>
          <w:rFonts w:ascii="仿宋" w:eastAsia="仿宋" w:hAnsi="仿宋"/>
          <w:bCs/>
          <w:kern w:val="0"/>
          <w:sz w:val="28"/>
          <w:szCs w:val="28"/>
        </w:rPr>
        <w:t>2022-2023年有80余名本科生到科技小院完成毕业论文，通过假期社会实践、专题调研等形式短期入住科技小院的学生超过100人，包括河南农业大学、中国农业大学、河南科技学院、郑州师范学院、河南财经政法大学、商丘工学院、信阳农林学院等学校的学生。基于科技小院，培养厚植知农爱农情怀和坚定强农兴农使命的大学生</w:t>
      </w:r>
      <w:r w:rsidRPr="004714DA">
        <w:rPr>
          <w:rFonts w:ascii="仿宋" w:eastAsia="仿宋" w:hAnsi="仿宋" w:hint="eastAsia"/>
          <w:bCs/>
          <w:kern w:val="0"/>
          <w:sz w:val="28"/>
          <w:szCs w:val="28"/>
        </w:rPr>
        <w:t>，提高大学生的综合素质和专业技能培养，提升科技素养和创新能力，构建适应现代农业发展需要的人才培养体系。</w:t>
      </w:r>
    </w:p>
    <w:p w14:paraId="5E68108B" w14:textId="77777777" w:rsidR="00C772BF" w:rsidRPr="004714DA" w:rsidRDefault="00C772BF" w:rsidP="00C772BF">
      <w:pPr>
        <w:spacing w:line="500" w:lineRule="exact"/>
        <w:ind w:firstLineChars="200" w:firstLine="562"/>
        <w:rPr>
          <w:rFonts w:ascii="仿宋" w:eastAsia="仿宋" w:hAnsi="仿宋"/>
          <w:bCs/>
          <w:kern w:val="0"/>
          <w:sz w:val="28"/>
          <w:szCs w:val="28"/>
        </w:rPr>
      </w:pPr>
      <w:r w:rsidRPr="004714DA">
        <w:rPr>
          <w:rFonts w:ascii="仿宋" w:eastAsia="仿宋" w:hAnsi="仿宋" w:hint="eastAsia"/>
          <w:b/>
          <w:bCs/>
          <w:kern w:val="0"/>
          <w:sz w:val="28"/>
          <w:szCs w:val="28"/>
        </w:rPr>
        <w:t>（2）</w:t>
      </w:r>
      <w:r w:rsidRPr="00E64794">
        <w:rPr>
          <w:rFonts w:hAnsi="宋体" w:hint="eastAsia"/>
          <w:b/>
          <w:bCs/>
          <w:sz w:val="28"/>
          <w:szCs w:val="28"/>
        </w:rPr>
        <w:t>构建科技小院多元化大学生人才培养模式。</w:t>
      </w:r>
      <w:r w:rsidRPr="004714DA">
        <w:rPr>
          <w:rFonts w:ascii="仿宋" w:eastAsia="仿宋" w:hAnsi="仿宋" w:hint="eastAsia"/>
          <w:bCs/>
          <w:kern w:val="0"/>
          <w:sz w:val="28"/>
          <w:szCs w:val="28"/>
        </w:rPr>
        <w:t>以新农科多样化大学生人才培养为目标，依托科技小院进行实践教学、科学研究、</w:t>
      </w:r>
      <w:r w:rsidRPr="004714DA">
        <w:rPr>
          <w:rFonts w:ascii="仿宋" w:eastAsia="仿宋" w:hAnsi="仿宋" w:hint="eastAsia"/>
          <w:bCs/>
          <w:kern w:val="0"/>
          <w:sz w:val="28"/>
          <w:szCs w:val="28"/>
        </w:rPr>
        <w:lastRenderedPageBreak/>
        <w:t>社会服务，根据学生知识结构和发展需求划分为不同培养阶段，大一学生通过入学教育、学生社团等方式了解接触科技小院，并在双向选择下加入科技小院；大二学生通过学校三下乡社会实践、飞鹰创新等项目短期入住科技小院；大三结合科研助手、生产实习阶段性入住科技小院，大四学生通过毕业实习长期入住科技小院。通过阶梯式培养方法，确保学生在不同阶段获得对应的知识和技能。</w:t>
      </w:r>
    </w:p>
    <w:p w14:paraId="594F8FDE" w14:textId="77777777" w:rsidR="00C772BF" w:rsidRPr="004714DA" w:rsidRDefault="00C772BF" w:rsidP="00C772BF">
      <w:pPr>
        <w:spacing w:line="500" w:lineRule="exact"/>
        <w:ind w:firstLineChars="200" w:firstLine="562"/>
        <w:rPr>
          <w:rFonts w:ascii="仿宋" w:eastAsia="仿宋" w:hAnsi="仿宋"/>
          <w:b/>
          <w:bCs/>
          <w:kern w:val="0"/>
          <w:sz w:val="28"/>
          <w:szCs w:val="28"/>
        </w:rPr>
      </w:pPr>
      <w:r w:rsidRPr="004714DA">
        <w:rPr>
          <w:rFonts w:ascii="仿宋" w:eastAsia="仿宋" w:hAnsi="仿宋" w:hint="eastAsia"/>
          <w:b/>
          <w:bCs/>
          <w:kern w:val="0"/>
          <w:sz w:val="28"/>
          <w:szCs w:val="28"/>
        </w:rPr>
        <w:t>（3）</w:t>
      </w:r>
      <w:r w:rsidRPr="00E64794">
        <w:rPr>
          <w:rFonts w:hAnsi="宋体" w:hint="eastAsia"/>
          <w:b/>
          <w:bCs/>
          <w:sz w:val="28"/>
          <w:szCs w:val="24"/>
        </w:rPr>
        <w:t>创新</w:t>
      </w:r>
      <w:r w:rsidRPr="00E64794">
        <w:rPr>
          <w:rFonts w:hAnsi="宋体" w:hint="eastAsia"/>
          <w:b/>
          <w:bCs/>
          <w:sz w:val="28"/>
          <w:szCs w:val="28"/>
        </w:rPr>
        <w:t>基于科技小院的</w:t>
      </w:r>
      <w:r w:rsidRPr="00E64794">
        <w:rPr>
          <w:rFonts w:hAnsi="宋体" w:hint="eastAsia"/>
          <w:b/>
          <w:bCs/>
          <w:sz w:val="28"/>
          <w:szCs w:val="24"/>
        </w:rPr>
        <w:t>多元化人才评价和</w:t>
      </w:r>
      <w:r w:rsidRPr="00E64794">
        <w:rPr>
          <w:rFonts w:hAnsi="宋体"/>
          <w:b/>
          <w:bCs/>
          <w:sz w:val="28"/>
          <w:szCs w:val="24"/>
        </w:rPr>
        <w:t>保障体系</w:t>
      </w:r>
      <w:r w:rsidRPr="00E64794">
        <w:rPr>
          <w:rFonts w:hint="eastAsia"/>
          <w:sz w:val="28"/>
          <w:szCs w:val="24"/>
        </w:rPr>
        <w:t>。</w:t>
      </w:r>
      <w:r w:rsidRPr="004714DA">
        <w:rPr>
          <w:rFonts w:ascii="仿宋" w:eastAsia="仿宋" w:hAnsi="仿宋" w:hint="eastAsia"/>
          <w:bCs/>
          <w:kern w:val="0"/>
          <w:sz w:val="28"/>
          <w:szCs w:val="28"/>
        </w:rPr>
        <w:t>基于科技小院建立农林产教融合基地、大学生社会实践基地、耕读教育基地等。依托科技小院产教融合基地因材施教进行多主体、多导师、多元化考核评价。学生以农民、农技员、村干部等多角色进行锻炼；接受政府、学校、企业多个主体考核；经历生活、实践、科研、创新能力等多能力检验；论文、产品、专利、标准、示范推广等作为多途径产出检验标准，全方位零距离服务乡村振兴。在培养理念上，注重交叉融合，通过加强学科交叉融合，优化专业结构，建立多层次、多类型的新农科人才培养体系，满足现代农业发展对不同层次、不同类型人才的需求。同时，积极推进科教结合、产教融合，促进农业科学研究、产业发展与教育教学的有机融合，加强高校、科研机构和企业之间的协同创新，提升农业产业链的整体竞争力。</w:t>
      </w:r>
    </w:p>
    <w:p w14:paraId="5C4F1CA6" w14:textId="77777777" w:rsidR="00C772BF" w:rsidRPr="004714DA" w:rsidRDefault="00C772BF" w:rsidP="00C772BF">
      <w:pPr>
        <w:spacing w:line="500" w:lineRule="exact"/>
        <w:rPr>
          <w:rFonts w:ascii="仿宋" w:eastAsia="仿宋" w:hAnsi="仿宋"/>
          <w:b/>
          <w:bCs/>
          <w:kern w:val="0"/>
          <w:sz w:val="32"/>
          <w:szCs w:val="32"/>
        </w:rPr>
      </w:pPr>
      <w:r w:rsidRPr="004714DA">
        <w:rPr>
          <w:rFonts w:ascii="仿宋" w:eastAsia="仿宋" w:hAnsi="仿宋"/>
          <w:b/>
          <w:bCs/>
          <w:kern w:val="0"/>
          <w:sz w:val="32"/>
          <w:szCs w:val="32"/>
        </w:rPr>
        <w:t>4、成果的推广应用效果</w:t>
      </w:r>
    </w:p>
    <w:p w14:paraId="620B06D0" w14:textId="77777777" w:rsidR="00C772BF" w:rsidRPr="004714DA" w:rsidRDefault="00C772BF" w:rsidP="00C772BF">
      <w:pPr>
        <w:spacing w:line="500" w:lineRule="exact"/>
        <w:rPr>
          <w:rFonts w:ascii="仿宋" w:eastAsia="仿宋" w:hAnsi="仿宋"/>
          <w:b/>
          <w:bCs/>
          <w:kern w:val="0"/>
          <w:sz w:val="28"/>
          <w:szCs w:val="28"/>
        </w:rPr>
      </w:pPr>
      <w:r w:rsidRPr="004714DA">
        <w:rPr>
          <w:rFonts w:ascii="仿宋" w:eastAsia="仿宋" w:hAnsi="仿宋"/>
          <w:b/>
          <w:bCs/>
          <w:kern w:val="0"/>
          <w:sz w:val="28"/>
          <w:szCs w:val="28"/>
        </w:rPr>
        <w:t>4.1</w:t>
      </w:r>
      <w:r w:rsidRPr="004714DA">
        <w:rPr>
          <w:rFonts w:ascii="仿宋" w:eastAsia="仿宋" w:hAnsi="仿宋" w:hint="eastAsia"/>
          <w:b/>
          <w:bCs/>
          <w:kern w:val="0"/>
          <w:sz w:val="28"/>
          <w:szCs w:val="28"/>
        </w:rPr>
        <w:t>科技小院入住大学生不断增加，人才培养质量显著提升</w:t>
      </w:r>
    </w:p>
    <w:p w14:paraId="5C1132BA" w14:textId="77777777" w:rsidR="00C772BF" w:rsidRPr="004714DA" w:rsidRDefault="00C772BF" w:rsidP="00C772BF">
      <w:pPr>
        <w:spacing w:line="500" w:lineRule="exact"/>
        <w:ind w:firstLineChars="200" w:firstLine="560"/>
        <w:rPr>
          <w:rFonts w:ascii="仿宋" w:eastAsia="仿宋" w:hAnsi="仿宋"/>
          <w:kern w:val="0"/>
          <w:sz w:val="28"/>
          <w:szCs w:val="28"/>
        </w:rPr>
      </w:pPr>
      <w:r w:rsidRPr="004714DA">
        <w:rPr>
          <w:rFonts w:ascii="仿宋" w:eastAsia="仿宋" w:hAnsi="仿宋"/>
          <w:kern w:val="0"/>
          <w:sz w:val="28"/>
          <w:szCs w:val="28"/>
        </w:rPr>
        <w:t>科技小院学生获</w:t>
      </w:r>
      <w:r w:rsidRPr="004714DA">
        <w:rPr>
          <w:rFonts w:ascii="仿宋" w:eastAsia="仿宋" w:hAnsi="仿宋" w:hint="eastAsia"/>
          <w:kern w:val="0"/>
          <w:sz w:val="28"/>
          <w:szCs w:val="28"/>
        </w:rPr>
        <w:t>20</w:t>
      </w:r>
      <w:r w:rsidRPr="004714DA">
        <w:rPr>
          <w:rFonts w:ascii="仿宋" w:eastAsia="仿宋" w:hAnsi="仿宋"/>
          <w:kern w:val="0"/>
          <w:sz w:val="28"/>
          <w:szCs w:val="28"/>
        </w:rPr>
        <w:t>项省部级以上奖励</w:t>
      </w:r>
      <w:r w:rsidRPr="004714DA">
        <w:rPr>
          <w:rFonts w:ascii="仿宋" w:eastAsia="仿宋" w:hAnsi="仿宋" w:hint="eastAsia"/>
          <w:kern w:val="0"/>
          <w:sz w:val="28"/>
          <w:szCs w:val="28"/>
        </w:rPr>
        <w:t>，</w:t>
      </w:r>
      <w:r w:rsidRPr="004714DA">
        <w:rPr>
          <w:rFonts w:ascii="仿宋" w:eastAsia="仿宋" w:hAnsi="仿宋"/>
          <w:kern w:val="0"/>
          <w:sz w:val="28"/>
          <w:szCs w:val="28"/>
        </w:rPr>
        <w:t>1</w:t>
      </w:r>
      <w:r w:rsidRPr="004714DA">
        <w:rPr>
          <w:rFonts w:ascii="仿宋" w:eastAsia="仿宋" w:hAnsi="仿宋" w:hint="eastAsia"/>
          <w:kern w:val="0"/>
          <w:sz w:val="28"/>
          <w:szCs w:val="28"/>
        </w:rPr>
        <w:t>2</w:t>
      </w:r>
      <w:r w:rsidRPr="004714DA">
        <w:rPr>
          <w:rFonts w:ascii="仿宋" w:eastAsia="仿宋" w:hAnsi="仿宋"/>
          <w:kern w:val="0"/>
          <w:sz w:val="28"/>
          <w:szCs w:val="28"/>
        </w:rPr>
        <w:t>名</w:t>
      </w:r>
      <w:r w:rsidRPr="004714DA">
        <w:rPr>
          <w:rFonts w:ascii="仿宋" w:eastAsia="仿宋" w:hAnsi="仿宋" w:hint="eastAsia"/>
          <w:kern w:val="0"/>
          <w:sz w:val="28"/>
          <w:szCs w:val="28"/>
        </w:rPr>
        <w:t>大学</w:t>
      </w:r>
      <w:r w:rsidRPr="004714DA">
        <w:rPr>
          <w:rFonts w:ascii="仿宋" w:eastAsia="仿宋" w:hAnsi="仿宋"/>
          <w:kern w:val="0"/>
          <w:sz w:val="28"/>
          <w:szCs w:val="28"/>
        </w:rPr>
        <w:t>生在抗疫期间被当地政府表彰。2016年至202</w:t>
      </w:r>
      <w:r w:rsidRPr="004714DA">
        <w:rPr>
          <w:rFonts w:ascii="仿宋" w:eastAsia="仿宋" w:hAnsi="仿宋" w:hint="eastAsia"/>
          <w:kern w:val="0"/>
          <w:sz w:val="28"/>
          <w:szCs w:val="28"/>
        </w:rPr>
        <w:t>4</w:t>
      </w:r>
      <w:r w:rsidRPr="004714DA">
        <w:rPr>
          <w:rFonts w:ascii="仿宋" w:eastAsia="仿宋" w:hAnsi="仿宋"/>
          <w:kern w:val="0"/>
          <w:sz w:val="28"/>
          <w:szCs w:val="28"/>
        </w:rPr>
        <w:t>年，资环专业1</w:t>
      </w:r>
      <w:r w:rsidRPr="004714DA">
        <w:rPr>
          <w:rFonts w:ascii="仿宋" w:eastAsia="仿宋" w:hAnsi="仿宋" w:hint="eastAsia"/>
          <w:kern w:val="0"/>
          <w:sz w:val="28"/>
          <w:szCs w:val="28"/>
        </w:rPr>
        <w:t>7</w:t>
      </w:r>
      <w:r>
        <w:rPr>
          <w:rFonts w:ascii="仿宋" w:eastAsia="仿宋" w:hAnsi="仿宋"/>
          <w:kern w:val="0"/>
          <w:sz w:val="28"/>
          <w:szCs w:val="28"/>
        </w:rPr>
        <w:t>0</w:t>
      </w:r>
      <w:r>
        <w:rPr>
          <w:rFonts w:ascii="仿宋" w:eastAsia="仿宋" w:hAnsi="仿宋" w:hint="eastAsia"/>
          <w:kern w:val="0"/>
          <w:sz w:val="28"/>
          <w:szCs w:val="28"/>
        </w:rPr>
        <w:t>余</w:t>
      </w:r>
      <w:r w:rsidRPr="004714DA">
        <w:rPr>
          <w:rFonts w:ascii="仿宋" w:eastAsia="仿宋" w:hAnsi="仿宋"/>
          <w:kern w:val="0"/>
          <w:sz w:val="28"/>
          <w:szCs w:val="28"/>
        </w:rPr>
        <w:t>名本科生在科技小院完成毕业论文，学生考取河南农业大学专硕的比例，由17.6%增加至42.9%。</w:t>
      </w:r>
      <w:r w:rsidRPr="004714DA">
        <w:rPr>
          <w:rFonts w:ascii="仿宋" w:eastAsia="仿宋" w:hAnsi="仿宋" w:hint="eastAsia"/>
          <w:kern w:val="0"/>
          <w:sz w:val="28"/>
          <w:szCs w:val="28"/>
        </w:rPr>
        <w:t>我们随机调研了80名近三年从科技小院毕业的大学生，其中企业24人（30.0%），事业单位2人（2.5%），考研51人（63.8%），自主创业3人（3.8%）。24名进入企业的毕业生中， 15人（62.6%）从事农资销售或农化服务工作，2人（8.3%）从事农业杂</w:t>
      </w:r>
      <w:r w:rsidRPr="004714DA">
        <w:rPr>
          <w:rFonts w:ascii="仿宋" w:eastAsia="仿宋" w:hAnsi="仿宋" w:hint="eastAsia"/>
          <w:kern w:val="0"/>
          <w:sz w:val="28"/>
          <w:szCs w:val="28"/>
        </w:rPr>
        <w:lastRenderedPageBreak/>
        <w:t>志编辑工作，2人（8.3%）从事环评工作，仅5人（20.8%）选择从事非农行业工作。</w:t>
      </w:r>
    </w:p>
    <w:p w14:paraId="1AD3E942" w14:textId="77777777" w:rsidR="00C772BF" w:rsidRDefault="00C772BF" w:rsidP="00C772BF">
      <w:pPr>
        <w:jc w:val="center"/>
      </w:pPr>
      <w:r>
        <w:rPr>
          <w:noProof/>
        </w:rPr>
        <w:drawing>
          <wp:inline distT="0" distB="0" distL="0" distR="0" wp14:anchorId="1B2C99BC" wp14:editId="19127BF8">
            <wp:extent cx="4645660" cy="2738120"/>
            <wp:effectExtent l="0" t="0" r="2540" b="5080"/>
            <wp:docPr id="1" name="图表 1" title="111"/>
            <wp:cNvGraphicFramePr/>
            <a:graphic xmlns:a="http://schemas.openxmlformats.org/drawingml/2006/main">
              <a:graphicData uri="http://schemas.openxmlformats.org/drawingml/2006/chart">
                <c:chart xmlns:c="http://schemas.openxmlformats.org/drawingml/2006/chart" xmlns:r="http://schemas.openxmlformats.org/officeDocument/2006/relationships" r:id="rId7"/>
              </a:graphicData>
            </a:graphic>
          </wp:inline>
        </w:drawing>
      </w:r>
    </w:p>
    <w:p w14:paraId="4EA83ABA" w14:textId="77777777" w:rsidR="00C772BF" w:rsidRPr="004714DA" w:rsidRDefault="00C772BF" w:rsidP="00C772BF">
      <w:pPr>
        <w:spacing w:line="500" w:lineRule="exact"/>
        <w:ind w:firstLineChars="200" w:firstLine="560"/>
        <w:rPr>
          <w:rFonts w:ascii="仿宋" w:eastAsia="仿宋" w:hAnsi="仿宋"/>
          <w:kern w:val="0"/>
          <w:sz w:val="28"/>
          <w:szCs w:val="28"/>
        </w:rPr>
      </w:pPr>
      <w:r w:rsidRPr="004714DA">
        <w:rPr>
          <w:rFonts w:ascii="仿宋" w:eastAsia="仿宋" w:hAnsi="仿宋" w:hint="eastAsia"/>
          <w:kern w:val="0"/>
          <w:sz w:val="28"/>
          <w:szCs w:val="28"/>
        </w:rPr>
        <w:t>51名考研毕业生中，有27人（52.9%）考入211或985知名高校，24人（47.1%）考入普通高校（图2）。27名考入知名高校学生中有9人考入中国农业大学、8人考入西北农林科技大学、5人考入华中农业大学；24名考入普通高校学生中有22人选择继续留在本校（河南农业大学）就读研究生。51名考研毕业生中，4人（7.8%）选择跨考别的专业，其中3人（5.9%）考入计算机专业，1人（2.0%）考入英语专业。</w:t>
      </w:r>
    </w:p>
    <w:p w14:paraId="26E1E2CA" w14:textId="77777777" w:rsidR="00C772BF" w:rsidRDefault="00C772BF" w:rsidP="00C772BF">
      <w:pPr>
        <w:jc w:val="center"/>
      </w:pPr>
      <w:r>
        <w:rPr>
          <w:noProof/>
        </w:rPr>
        <w:drawing>
          <wp:inline distT="0" distB="0" distL="114300" distR="114300" wp14:anchorId="752A952F" wp14:editId="7DAA1FD6">
            <wp:extent cx="4826000" cy="2743200"/>
            <wp:effectExtent l="0" t="0" r="0" b="0"/>
            <wp:docPr id="3" name="图表 2"/>
            <wp:cNvGraphicFramePr/>
            <a:graphic xmlns:a="http://schemas.openxmlformats.org/drawingml/2006/main">
              <a:graphicData uri="http://schemas.openxmlformats.org/drawingml/2006/chart">
                <c:chart xmlns:c="http://schemas.openxmlformats.org/drawingml/2006/chart" xmlns:r="http://schemas.openxmlformats.org/officeDocument/2006/relationships" r:id="rId8"/>
              </a:graphicData>
            </a:graphic>
          </wp:inline>
        </w:drawing>
      </w:r>
    </w:p>
    <w:p w14:paraId="42C62478" w14:textId="77777777" w:rsidR="00C772BF" w:rsidRDefault="00C772BF" w:rsidP="00C772BF">
      <w:pPr>
        <w:spacing w:line="500" w:lineRule="exact"/>
        <w:ind w:firstLineChars="200" w:firstLine="560"/>
        <w:rPr>
          <w:rFonts w:ascii="仿宋" w:eastAsia="仿宋" w:hAnsi="仿宋"/>
          <w:kern w:val="0"/>
          <w:sz w:val="28"/>
          <w:szCs w:val="28"/>
        </w:rPr>
      </w:pPr>
      <w:r w:rsidRPr="004714DA">
        <w:rPr>
          <w:rFonts w:ascii="仿宋" w:eastAsia="仿宋" w:hAnsi="仿宋" w:hint="eastAsia"/>
          <w:kern w:val="0"/>
          <w:sz w:val="28"/>
          <w:szCs w:val="28"/>
        </w:rPr>
        <w:t>河南农业大学每年有超过</w:t>
      </w:r>
      <w:r w:rsidRPr="004714DA">
        <w:rPr>
          <w:rFonts w:ascii="仿宋" w:eastAsia="仿宋" w:hAnsi="仿宋"/>
          <w:kern w:val="0"/>
          <w:sz w:val="28"/>
          <w:szCs w:val="28"/>
        </w:rPr>
        <w:t>60名大学生入住科技小院，在科技小</w:t>
      </w:r>
      <w:r w:rsidRPr="004714DA">
        <w:rPr>
          <w:rFonts w:ascii="仿宋" w:eastAsia="仿宋" w:hAnsi="仿宋"/>
          <w:kern w:val="0"/>
          <w:sz w:val="28"/>
          <w:szCs w:val="28"/>
        </w:rPr>
        <w:lastRenderedPageBreak/>
        <w:t>院完成生产实习和毕业论文，入住科技小院学生不断增加。其中，2012年以来，资环专业1</w:t>
      </w:r>
      <w:r>
        <w:rPr>
          <w:rFonts w:ascii="仿宋" w:eastAsia="仿宋" w:hAnsi="仿宋"/>
          <w:kern w:val="0"/>
          <w:sz w:val="28"/>
          <w:szCs w:val="28"/>
        </w:rPr>
        <w:t>70</w:t>
      </w:r>
      <w:r>
        <w:rPr>
          <w:rFonts w:ascii="仿宋" w:eastAsia="仿宋" w:hAnsi="仿宋" w:hint="eastAsia"/>
          <w:kern w:val="0"/>
          <w:sz w:val="28"/>
          <w:szCs w:val="28"/>
        </w:rPr>
        <w:t>余</w:t>
      </w:r>
      <w:r w:rsidRPr="004714DA">
        <w:rPr>
          <w:rFonts w:ascii="仿宋" w:eastAsia="仿宋" w:hAnsi="仿宋"/>
          <w:kern w:val="0"/>
          <w:sz w:val="28"/>
          <w:szCs w:val="28"/>
        </w:rPr>
        <w:t>名本科生在科技小院完成毕业论文，考取河南农业大学专硕的比例由17.6%增加至42.9%。科技小院培养的大学生获评2022年出彩河南人-最美大学生、河南省助力乡村振兴科技小院优秀志愿者、全国农林高校共青团工作联盟暑期社会实践优秀实践小队等荣誉称号。人才培养质量大幅度提升，学生考研就业受到用人单位高度好评。</w:t>
      </w:r>
    </w:p>
    <w:p w14:paraId="4671D534" w14:textId="77777777" w:rsidR="00C772BF" w:rsidRDefault="00C772BF" w:rsidP="00C772BF">
      <w:pPr>
        <w:spacing w:line="500" w:lineRule="exact"/>
        <w:rPr>
          <w:rFonts w:hAnsi="宋体"/>
          <w:b/>
          <w:bCs/>
          <w:sz w:val="28"/>
          <w:szCs w:val="28"/>
        </w:rPr>
      </w:pPr>
      <w:r w:rsidRPr="006B3BF2">
        <w:rPr>
          <w:rFonts w:ascii="仿宋" w:eastAsia="仿宋" w:hAnsi="仿宋" w:hint="eastAsia"/>
          <w:b/>
          <w:bCs/>
          <w:kern w:val="0"/>
          <w:sz w:val="28"/>
          <w:szCs w:val="28"/>
        </w:rPr>
        <w:t>4.2师生同频共振，教师教学科研水平显著提升</w:t>
      </w:r>
    </w:p>
    <w:p w14:paraId="180CFBEB" w14:textId="77777777" w:rsidR="00C772BF" w:rsidRPr="006B3BF2" w:rsidRDefault="00C772BF" w:rsidP="00C772BF">
      <w:pPr>
        <w:spacing w:line="500" w:lineRule="exact"/>
        <w:ind w:firstLineChars="200" w:firstLine="560"/>
        <w:rPr>
          <w:rFonts w:ascii="仿宋" w:eastAsia="仿宋" w:hAnsi="仿宋"/>
          <w:kern w:val="0"/>
          <w:sz w:val="28"/>
          <w:szCs w:val="28"/>
        </w:rPr>
      </w:pPr>
      <w:r w:rsidRPr="006B3BF2">
        <w:rPr>
          <w:rFonts w:ascii="仿宋" w:eastAsia="仿宋" w:hAnsi="仿宋" w:hint="eastAsia"/>
          <w:kern w:val="0"/>
          <w:sz w:val="28"/>
          <w:szCs w:val="28"/>
        </w:rPr>
        <w:t>为</w:t>
      </w:r>
      <w:r w:rsidRPr="006B3BF2">
        <w:rPr>
          <w:rFonts w:ascii="仿宋" w:eastAsia="仿宋" w:hAnsi="仿宋"/>
          <w:kern w:val="0"/>
          <w:sz w:val="28"/>
          <w:szCs w:val="28"/>
        </w:rPr>
        <w:t>加强</w:t>
      </w:r>
      <w:r w:rsidRPr="006B3BF2">
        <w:rPr>
          <w:rFonts w:ascii="仿宋" w:eastAsia="仿宋" w:hAnsi="仿宋" w:hint="eastAsia"/>
          <w:kern w:val="0"/>
          <w:sz w:val="28"/>
          <w:szCs w:val="28"/>
        </w:rPr>
        <w:t>实践</w:t>
      </w:r>
      <w:r w:rsidRPr="006B3BF2">
        <w:rPr>
          <w:rFonts w:ascii="仿宋" w:eastAsia="仿宋" w:hAnsi="仿宋"/>
          <w:kern w:val="0"/>
          <w:sz w:val="28"/>
          <w:szCs w:val="28"/>
        </w:rPr>
        <w:t>教学能力，</w:t>
      </w:r>
      <w:r w:rsidRPr="006B3BF2">
        <w:rPr>
          <w:rFonts w:ascii="仿宋" w:eastAsia="仿宋" w:hAnsi="仿宋" w:hint="eastAsia"/>
          <w:kern w:val="0"/>
          <w:sz w:val="28"/>
          <w:szCs w:val="28"/>
        </w:rPr>
        <w:t>增加</w:t>
      </w:r>
      <w:r w:rsidRPr="006B3BF2">
        <w:rPr>
          <w:rFonts w:ascii="仿宋" w:eastAsia="仿宋" w:hAnsi="仿宋"/>
          <w:kern w:val="0"/>
          <w:sz w:val="28"/>
          <w:szCs w:val="28"/>
        </w:rPr>
        <w:t>对农业生产</w:t>
      </w:r>
      <w:r w:rsidRPr="006B3BF2">
        <w:rPr>
          <w:rFonts w:ascii="仿宋" w:eastAsia="仿宋" w:hAnsi="仿宋" w:hint="eastAsia"/>
          <w:kern w:val="0"/>
          <w:sz w:val="28"/>
          <w:szCs w:val="28"/>
        </w:rPr>
        <w:t>的</w:t>
      </w:r>
      <w:r w:rsidRPr="006B3BF2">
        <w:rPr>
          <w:rFonts w:ascii="仿宋" w:eastAsia="仿宋" w:hAnsi="仿宋"/>
          <w:kern w:val="0"/>
          <w:sz w:val="28"/>
          <w:szCs w:val="28"/>
        </w:rPr>
        <w:t>了解</w:t>
      </w:r>
      <w:r w:rsidRPr="006B3BF2">
        <w:rPr>
          <w:rFonts w:ascii="仿宋" w:eastAsia="仿宋" w:hAnsi="仿宋" w:hint="eastAsia"/>
          <w:kern w:val="0"/>
          <w:sz w:val="28"/>
          <w:szCs w:val="28"/>
        </w:rPr>
        <w:t>，丰富</w:t>
      </w:r>
      <w:r w:rsidRPr="006B3BF2">
        <w:rPr>
          <w:rFonts w:ascii="仿宋" w:eastAsia="仿宋" w:hAnsi="仿宋"/>
          <w:kern w:val="0"/>
          <w:sz w:val="28"/>
          <w:szCs w:val="28"/>
        </w:rPr>
        <w:t>行业</w:t>
      </w:r>
      <w:r w:rsidRPr="006B3BF2">
        <w:rPr>
          <w:rFonts w:ascii="仿宋" w:eastAsia="仿宋" w:hAnsi="仿宋" w:hint="eastAsia"/>
          <w:kern w:val="0"/>
          <w:sz w:val="28"/>
          <w:szCs w:val="28"/>
        </w:rPr>
        <w:t>和</w:t>
      </w:r>
      <w:r w:rsidRPr="006B3BF2">
        <w:rPr>
          <w:rFonts w:ascii="仿宋" w:eastAsia="仿宋" w:hAnsi="仿宋"/>
          <w:kern w:val="0"/>
          <w:sz w:val="28"/>
          <w:szCs w:val="28"/>
        </w:rPr>
        <w:t>产业知识</w:t>
      </w:r>
      <w:r w:rsidRPr="006B3BF2">
        <w:rPr>
          <w:rFonts w:ascii="仿宋" w:eastAsia="仿宋" w:hAnsi="仿宋" w:hint="eastAsia"/>
          <w:kern w:val="0"/>
          <w:sz w:val="28"/>
          <w:szCs w:val="28"/>
        </w:rPr>
        <w:t>能力</w:t>
      </w:r>
      <w:r w:rsidRPr="006B3BF2">
        <w:rPr>
          <w:rFonts w:ascii="仿宋" w:eastAsia="仿宋" w:hAnsi="仿宋"/>
          <w:kern w:val="0"/>
          <w:sz w:val="28"/>
          <w:szCs w:val="28"/>
        </w:rPr>
        <w:t>，</w:t>
      </w:r>
      <w:r w:rsidRPr="006B3BF2">
        <w:rPr>
          <w:rFonts w:ascii="仿宋" w:eastAsia="仿宋" w:hAnsi="仿宋" w:hint="eastAsia"/>
          <w:kern w:val="0"/>
          <w:sz w:val="28"/>
          <w:szCs w:val="28"/>
        </w:rPr>
        <w:t>科技小院指导教师践行“同吃、同住、同劳动”原则，教师每年在科技小院驻扎不少于120天，科研水平、实践教学经验</w:t>
      </w:r>
      <w:r w:rsidRPr="006B3BF2">
        <w:rPr>
          <w:rFonts w:ascii="仿宋" w:eastAsia="仿宋" w:hAnsi="仿宋"/>
          <w:kern w:val="0"/>
          <w:sz w:val="28"/>
          <w:szCs w:val="28"/>
        </w:rPr>
        <w:t>和能力</w:t>
      </w:r>
      <w:r w:rsidRPr="006B3BF2">
        <w:rPr>
          <w:rFonts w:ascii="仿宋" w:eastAsia="仿宋" w:hAnsi="仿宋" w:hint="eastAsia"/>
          <w:kern w:val="0"/>
          <w:sz w:val="28"/>
          <w:szCs w:val="28"/>
        </w:rPr>
        <w:t>显著提升。近年来，获得国家级</w:t>
      </w:r>
      <w:r w:rsidRPr="006B3BF2">
        <w:rPr>
          <w:rFonts w:ascii="仿宋" w:eastAsia="仿宋" w:hAnsi="仿宋"/>
          <w:kern w:val="0"/>
          <w:sz w:val="28"/>
          <w:szCs w:val="28"/>
        </w:rPr>
        <w:t>教学成果</w:t>
      </w:r>
      <w:r w:rsidRPr="006B3BF2">
        <w:rPr>
          <w:rFonts w:ascii="仿宋" w:eastAsia="仿宋" w:hAnsi="仿宋" w:hint="eastAsia"/>
          <w:kern w:val="0"/>
          <w:sz w:val="28"/>
          <w:szCs w:val="28"/>
        </w:rPr>
        <w:t>二等奖2项</w:t>
      </w:r>
      <w:r w:rsidRPr="006B3BF2">
        <w:rPr>
          <w:rFonts w:ascii="仿宋" w:eastAsia="仿宋" w:hAnsi="仿宋"/>
          <w:kern w:val="0"/>
          <w:sz w:val="28"/>
          <w:szCs w:val="28"/>
        </w:rPr>
        <w:t>、</w:t>
      </w:r>
      <w:r w:rsidRPr="006B3BF2">
        <w:rPr>
          <w:rFonts w:ascii="仿宋" w:eastAsia="仿宋" w:hAnsi="仿宋" w:hint="eastAsia"/>
          <w:kern w:val="0"/>
          <w:sz w:val="28"/>
          <w:szCs w:val="28"/>
        </w:rPr>
        <w:t>河南省教学成果一等奖等省级教学成果5项，主持省级以上教改项目</w:t>
      </w:r>
      <w:r w:rsidRPr="006B3BF2">
        <w:rPr>
          <w:rFonts w:ascii="仿宋" w:eastAsia="仿宋" w:hAnsi="仿宋"/>
          <w:kern w:val="0"/>
          <w:sz w:val="28"/>
          <w:szCs w:val="28"/>
        </w:rPr>
        <w:t>6</w:t>
      </w:r>
      <w:r w:rsidRPr="006B3BF2">
        <w:rPr>
          <w:rFonts w:ascii="仿宋" w:eastAsia="仿宋" w:hAnsi="仿宋" w:hint="eastAsia"/>
          <w:kern w:val="0"/>
          <w:sz w:val="28"/>
          <w:szCs w:val="28"/>
        </w:rPr>
        <w:t>项、省部级以上科研项目3</w:t>
      </w:r>
      <w:r w:rsidRPr="006B3BF2">
        <w:rPr>
          <w:rFonts w:ascii="仿宋" w:eastAsia="仿宋" w:hAnsi="仿宋"/>
          <w:kern w:val="0"/>
          <w:sz w:val="28"/>
          <w:szCs w:val="28"/>
        </w:rPr>
        <w:t>0</w:t>
      </w:r>
      <w:r w:rsidRPr="006B3BF2">
        <w:rPr>
          <w:rFonts w:ascii="仿宋" w:eastAsia="仿宋" w:hAnsi="仿宋" w:hint="eastAsia"/>
          <w:kern w:val="0"/>
          <w:sz w:val="28"/>
          <w:szCs w:val="28"/>
        </w:rPr>
        <w:t>余项，发表教改论文30篇，获得河南省高层次人才、河南省教学名师、河南省</w:t>
      </w:r>
      <w:r w:rsidRPr="006B3BF2">
        <w:rPr>
          <w:rFonts w:ascii="仿宋" w:eastAsia="仿宋" w:hAnsi="仿宋"/>
          <w:kern w:val="0"/>
          <w:sz w:val="28"/>
          <w:szCs w:val="28"/>
        </w:rPr>
        <w:t>优秀</w:t>
      </w:r>
      <w:r w:rsidRPr="006B3BF2">
        <w:rPr>
          <w:rFonts w:ascii="仿宋" w:eastAsia="仿宋" w:hAnsi="仿宋" w:hint="eastAsia"/>
          <w:kern w:val="0"/>
          <w:sz w:val="28"/>
          <w:szCs w:val="28"/>
        </w:rPr>
        <w:t>教师</w:t>
      </w:r>
      <w:r w:rsidRPr="006B3BF2">
        <w:rPr>
          <w:rFonts w:ascii="仿宋" w:eastAsia="仿宋" w:hAnsi="仿宋"/>
          <w:kern w:val="0"/>
          <w:sz w:val="28"/>
          <w:szCs w:val="28"/>
        </w:rPr>
        <w:t>、</w:t>
      </w:r>
      <w:r w:rsidRPr="006B3BF2">
        <w:rPr>
          <w:rFonts w:ascii="仿宋" w:eastAsia="仿宋" w:hAnsi="仿宋" w:hint="eastAsia"/>
          <w:kern w:val="0"/>
          <w:sz w:val="28"/>
          <w:szCs w:val="28"/>
        </w:rPr>
        <w:t>河南省教学标兵、河南省优秀</w:t>
      </w:r>
      <w:r w:rsidRPr="006B3BF2">
        <w:rPr>
          <w:rFonts w:ascii="仿宋" w:eastAsia="仿宋" w:hAnsi="仿宋"/>
          <w:kern w:val="0"/>
          <w:sz w:val="28"/>
          <w:szCs w:val="28"/>
        </w:rPr>
        <w:t>学</w:t>
      </w:r>
      <w:r w:rsidRPr="006B3BF2">
        <w:rPr>
          <w:rFonts w:ascii="仿宋" w:eastAsia="仿宋" w:hAnsi="仿宋" w:hint="eastAsia"/>
          <w:kern w:val="0"/>
          <w:sz w:val="28"/>
          <w:szCs w:val="28"/>
        </w:rPr>
        <w:t>士</w:t>
      </w:r>
      <w:r w:rsidRPr="006B3BF2">
        <w:rPr>
          <w:rFonts w:ascii="仿宋" w:eastAsia="仿宋" w:hAnsi="仿宋"/>
          <w:kern w:val="0"/>
          <w:sz w:val="28"/>
          <w:szCs w:val="28"/>
        </w:rPr>
        <w:t>论文指导老师</w:t>
      </w:r>
      <w:r w:rsidRPr="006B3BF2">
        <w:rPr>
          <w:rFonts w:ascii="仿宋" w:eastAsia="仿宋" w:hAnsi="仿宋" w:hint="eastAsia"/>
          <w:kern w:val="0"/>
          <w:sz w:val="28"/>
          <w:szCs w:val="28"/>
        </w:rPr>
        <w:t>等省级以上荣誉2</w:t>
      </w:r>
      <w:r w:rsidRPr="006B3BF2">
        <w:rPr>
          <w:rFonts w:ascii="仿宋" w:eastAsia="仿宋" w:hAnsi="仿宋"/>
          <w:kern w:val="0"/>
          <w:sz w:val="28"/>
          <w:szCs w:val="28"/>
        </w:rPr>
        <w:t>0</w:t>
      </w:r>
      <w:r w:rsidRPr="006B3BF2">
        <w:rPr>
          <w:rFonts w:ascii="仿宋" w:eastAsia="仿宋" w:hAnsi="仿宋" w:hint="eastAsia"/>
          <w:kern w:val="0"/>
          <w:sz w:val="28"/>
          <w:szCs w:val="28"/>
        </w:rPr>
        <w:t>余项。</w:t>
      </w:r>
    </w:p>
    <w:p w14:paraId="4529198C" w14:textId="77777777" w:rsidR="00C772BF" w:rsidRPr="004714DA" w:rsidRDefault="00C772BF" w:rsidP="00C772BF">
      <w:pPr>
        <w:spacing w:line="500" w:lineRule="exact"/>
        <w:rPr>
          <w:rFonts w:ascii="仿宋" w:eastAsia="仿宋" w:hAnsi="仿宋"/>
          <w:b/>
          <w:bCs/>
          <w:kern w:val="0"/>
          <w:sz w:val="28"/>
          <w:szCs w:val="28"/>
        </w:rPr>
      </w:pPr>
      <w:r w:rsidRPr="004714DA">
        <w:rPr>
          <w:rFonts w:ascii="仿宋" w:eastAsia="仿宋" w:hAnsi="仿宋" w:hint="eastAsia"/>
          <w:b/>
          <w:bCs/>
          <w:kern w:val="0"/>
          <w:sz w:val="28"/>
          <w:szCs w:val="28"/>
        </w:rPr>
        <w:t>4.</w:t>
      </w:r>
      <w:r>
        <w:rPr>
          <w:rFonts w:ascii="仿宋" w:eastAsia="仿宋" w:hAnsi="仿宋"/>
          <w:b/>
          <w:bCs/>
          <w:kern w:val="0"/>
          <w:sz w:val="28"/>
          <w:szCs w:val="28"/>
        </w:rPr>
        <w:t>3</w:t>
      </w:r>
      <w:r w:rsidRPr="004714DA">
        <w:rPr>
          <w:rFonts w:ascii="仿宋" w:eastAsia="仿宋" w:hAnsi="仿宋" w:hint="eastAsia"/>
          <w:b/>
          <w:bCs/>
          <w:kern w:val="0"/>
          <w:sz w:val="28"/>
          <w:szCs w:val="28"/>
        </w:rPr>
        <w:t>引领河南省科技小院建设</w:t>
      </w:r>
    </w:p>
    <w:p w14:paraId="54C5EC05" w14:textId="77777777" w:rsidR="00C772BF" w:rsidRPr="004714DA" w:rsidRDefault="00C772BF" w:rsidP="00C772BF">
      <w:pPr>
        <w:spacing w:line="500" w:lineRule="exact"/>
        <w:ind w:firstLineChars="200" w:firstLine="560"/>
        <w:rPr>
          <w:rFonts w:ascii="仿宋" w:eastAsia="仿宋" w:hAnsi="仿宋"/>
          <w:bCs/>
          <w:kern w:val="0"/>
          <w:sz w:val="28"/>
          <w:szCs w:val="28"/>
        </w:rPr>
      </w:pPr>
      <w:r w:rsidRPr="004714DA">
        <w:rPr>
          <w:rFonts w:ascii="仿宋" w:eastAsia="仿宋" w:hAnsi="仿宋" w:hint="eastAsia"/>
          <w:bCs/>
          <w:kern w:val="0"/>
          <w:sz w:val="28"/>
          <w:szCs w:val="28"/>
        </w:rPr>
        <w:t>河南农业大学建立的科技小院，获批“全国科技小院培训基地”、“河南省新农科（农业资源与环境）大学生校外实践教育基地”、“河南省农林产教融合示范基地”、“全国农业专业学位研究生实践教育示范基地”、“河南省研究生联合培养基地”</w:t>
      </w:r>
      <w:r>
        <w:rPr>
          <w:rFonts w:ascii="仿宋" w:eastAsia="仿宋" w:hAnsi="仿宋" w:hint="eastAsia"/>
          <w:bCs/>
          <w:kern w:val="0"/>
          <w:sz w:val="28"/>
          <w:szCs w:val="28"/>
        </w:rPr>
        <w:t>、</w:t>
      </w:r>
      <w:r>
        <w:rPr>
          <w:rFonts w:ascii="仿宋" w:eastAsia="仿宋" w:hAnsi="仿宋"/>
          <w:bCs/>
          <w:kern w:val="0"/>
          <w:sz w:val="28"/>
          <w:szCs w:val="28"/>
        </w:rPr>
        <w:t>“</w:t>
      </w:r>
      <w:r>
        <w:rPr>
          <w:rFonts w:ascii="仿宋" w:eastAsia="仿宋" w:hAnsi="仿宋" w:hint="eastAsia"/>
          <w:bCs/>
          <w:kern w:val="0"/>
          <w:sz w:val="28"/>
          <w:szCs w:val="28"/>
        </w:rPr>
        <w:t>中国农技协</w:t>
      </w:r>
      <w:r>
        <w:rPr>
          <w:rFonts w:ascii="仿宋" w:eastAsia="仿宋" w:hAnsi="仿宋"/>
          <w:bCs/>
          <w:kern w:val="0"/>
          <w:sz w:val="28"/>
          <w:szCs w:val="28"/>
        </w:rPr>
        <w:t>最美科技小院”</w:t>
      </w:r>
      <w:r w:rsidRPr="004714DA">
        <w:rPr>
          <w:rFonts w:ascii="仿宋" w:eastAsia="仿宋" w:hAnsi="仿宋" w:hint="eastAsia"/>
          <w:bCs/>
          <w:kern w:val="0"/>
          <w:sz w:val="28"/>
          <w:szCs w:val="28"/>
        </w:rPr>
        <w:t>等，引领了河南省科技小院发展，使河南省科技小院从禹州科技小院</w:t>
      </w:r>
      <w:r w:rsidRPr="004714DA">
        <w:rPr>
          <w:rFonts w:ascii="仿宋" w:eastAsia="仿宋" w:hAnsi="仿宋"/>
          <w:bCs/>
          <w:kern w:val="0"/>
          <w:sz w:val="28"/>
          <w:szCs w:val="28"/>
        </w:rPr>
        <w:t>1个，发展到河南省已建科技小院108个。依托河南农业大学，成立了中国农技协科技小院联盟（河南），推动全省科技小院工作。《人民日报》、《光明日报》、《学习强国》、《科技日报》、《河南日报》、CCTV-17、CCTV-9、河南电视台等各级各类媒体报道1</w:t>
      </w:r>
      <w:r w:rsidRPr="004714DA">
        <w:rPr>
          <w:rFonts w:ascii="仿宋" w:eastAsia="仿宋" w:hAnsi="仿宋" w:hint="eastAsia"/>
          <w:bCs/>
          <w:kern w:val="0"/>
          <w:sz w:val="28"/>
          <w:szCs w:val="28"/>
        </w:rPr>
        <w:t>2</w:t>
      </w:r>
      <w:r w:rsidRPr="004714DA">
        <w:rPr>
          <w:rFonts w:ascii="仿宋" w:eastAsia="仿宋" w:hAnsi="仿宋"/>
          <w:bCs/>
          <w:kern w:val="0"/>
          <w:sz w:val="28"/>
          <w:szCs w:val="28"/>
        </w:rPr>
        <w:t>0余次。</w:t>
      </w:r>
    </w:p>
    <w:p w14:paraId="47FC65B1" w14:textId="77777777" w:rsidR="00C772BF" w:rsidRPr="004714DA" w:rsidRDefault="00C772BF" w:rsidP="00C772BF">
      <w:pPr>
        <w:spacing w:line="500" w:lineRule="exact"/>
        <w:rPr>
          <w:rFonts w:ascii="仿宋" w:eastAsia="仿宋" w:hAnsi="仿宋"/>
          <w:b/>
          <w:bCs/>
          <w:kern w:val="0"/>
          <w:sz w:val="28"/>
          <w:szCs w:val="28"/>
        </w:rPr>
      </w:pPr>
      <w:r w:rsidRPr="004714DA">
        <w:rPr>
          <w:rFonts w:ascii="仿宋" w:eastAsia="仿宋" w:hAnsi="仿宋"/>
          <w:b/>
          <w:bCs/>
          <w:kern w:val="0"/>
          <w:sz w:val="28"/>
          <w:szCs w:val="28"/>
        </w:rPr>
        <w:lastRenderedPageBreak/>
        <w:t>4.</w:t>
      </w:r>
      <w:r>
        <w:rPr>
          <w:rFonts w:ascii="仿宋" w:eastAsia="仿宋" w:hAnsi="仿宋"/>
          <w:b/>
          <w:bCs/>
          <w:kern w:val="0"/>
          <w:sz w:val="28"/>
          <w:szCs w:val="28"/>
        </w:rPr>
        <w:t>4</w:t>
      </w:r>
      <w:r w:rsidRPr="004714DA">
        <w:rPr>
          <w:rFonts w:ascii="仿宋" w:eastAsia="仿宋" w:hAnsi="仿宋"/>
          <w:b/>
          <w:bCs/>
          <w:kern w:val="0"/>
          <w:sz w:val="28"/>
          <w:szCs w:val="28"/>
        </w:rPr>
        <w:t>科技小院社会经济效益显著</w:t>
      </w:r>
    </w:p>
    <w:p w14:paraId="38D60407" w14:textId="77777777" w:rsidR="00C772BF" w:rsidRPr="004714DA" w:rsidRDefault="00C772BF" w:rsidP="00C772BF">
      <w:pPr>
        <w:spacing w:line="500" w:lineRule="exact"/>
        <w:ind w:firstLineChars="200" w:firstLine="560"/>
        <w:rPr>
          <w:rFonts w:ascii="仿宋" w:eastAsia="仿宋" w:hAnsi="仿宋"/>
          <w:kern w:val="0"/>
          <w:sz w:val="28"/>
          <w:szCs w:val="28"/>
        </w:rPr>
      </w:pPr>
      <w:r w:rsidRPr="004714DA">
        <w:rPr>
          <w:rFonts w:ascii="仿宋" w:eastAsia="仿宋" w:hAnsi="仿宋"/>
          <w:kern w:val="0"/>
          <w:sz w:val="28"/>
          <w:szCs w:val="28"/>
        </w:rPr>
        <w:t>科技小院师生共编制28项技术规程，技术服务涵盖了种植、养殖、肥料生产三大领域，小麦、玉米、花生等15种作物，线上线下结合，累计开展农技培训2000余场次，培养新型农业主体、</w:t>
      </w:r>
      <w:r w:rsidRPr="004714DA">
        <w:rPr>
          <w:rFonts w:ascii="仿宋" w:eastAsia="仿宋" w:hAnsi="仿宋" w:hint="eastAsia"/>
          <w:kern w:val="0"/>
          <w:sz w:val="28"/>
          <w:szCs w:val="28"/>
        </w:rPr>
        <w:t>基层技术骨干</w:t>
      </w:r>
      <w:r w:rsidRPr="004714DA">
        <w:rPr>
          <w:rFonts w:ascii="仿宋" w:eastAsia="仿宋" w:hAnsi="仿宋"/>
          <w:kern w:val="0"/>
          <w:sz w:val="28"/>
          <w:szCs w:val="28"/>
        </w:rPr>
        <w:t>1000余人，培训农户</w:t>
      </w:r>
      <w:r w:rsidRPr="004714DA">
        <w:rPr>
          <w:rFonts w:ascii="仿宋" w:eastAsia="仿宋" w:hAnsi="仿宋" w:hint="eastAsia"/>
          <w:kern w:val="0"/>
          <w:sz w:val="28"/>
          <w:szCs w:val="28"/>
        </w:rPr>
        <w:t>、企业技术人员</w:t>
      </w:r>
      <w:r w:rsidRPr="004714DA">
        <w:rPr>
          <w:rFonts w:ascii="仿宋" w:eastAsia="仿宋" w:hAnsi="仿宋"/>
          <w:kern w:val="0"/>
          <w:sz w:val="28"/>
          <w:szCs w:val="28"/>
        </w:rPr>
        <w:t>超过500余万人次，技术服务面积</w:t>
      </w:r>
      <w:r w:rsidRPr="004714DA">
        <w:rPr>
          <w:rFonts w:ascii="仿宋" w:eastAsia="仿宋" w:hAnsi="仿宋" w:hint="eastAsia"/>
          <w:kern w:val="0"/>
          <w:sz w:val="28"/>
          <w:szCs w:val="28"/>
        </w:rPr>
        <w:t>达</w:t>
      </w:r>
      <w:r w:rsidRPr="004714DA">
        <w:rPr>
          <w:rFonts w:ascii="仿宋" w:eastAsia="仿宋" w:hAnsi="仿宋"/>
          <w:kern w:val="0"/>
          <w:sz w:val="28"/>
          <w:szCs w:val="28"/>
        </w:rPr>
        <w:t>2000万亩以上，节本增收超过8亿元。师生踊跃参与抗洪抗疫，连续8年开办弘农爱国支教班，每年义务支教留守儿童</w:t>
      </w:r>
      <w:r w:rsidRPr="004714DA">
        <w:rPr>
          <w:rFonts w:ascii="仿宋" w:eastAsia="仿宋" w:hAnsi="仿宋" w:hint="eastAsia"/>
          <w:kern w:val="0"/>
          <w:sz w:val="28"/>
          <w:szCs w:val="28"/>
        </w:rPr>
        <w:t>7</w:t>
      </w:r>
      <w:r w:rsidRPr="004714DA">
        <w:rPr>
          <w:rFonts w:ascii="仿宋" w:eastAsia="仿宋" w:hAnsi="仿宋"/>
          <w:kern w:val="0"/>
          <w:sz w:val="28"/>
          <w:szCs w:val="28"/>
        </w:rPr>
        <w:t>00人次；开设助农直播平台，帮助村里打造品牌农产品，如“少康王小米”、“富锌石磨面粉”，有力推动了乡村产业振兴。</w:t>
      </w:r>
    </w:p>
    <w:p w14:paraId="05655A63" w14:textId="77777777" w:rsidR="00C772BF" w:rsidRPr="004714DA" w:rsidRDefault="00C772BF" w:rsidP="00C772BF">
      <w:pPr>
        <w:spacing w:line="500" w:lineRule="exact"/>
        <w:rPr>
          <w:rFonts w:ascii="仿宋" w:eastAsia="仿宋" w:hAnsi="仿宋"/>
          <w:b/>
          <w:bCs/>
          <w:kern w:val="0"/>
          <w:sz w:val="28"/>
          <w:szCs w:val="28"/>
        </w:rPr>
      </w:pPr>
      <w:r w:rsidRPr="004714DA">
        <w:rPr>
          <w:rFonts w:ascii="仿宋" w:eastAsia="仿宋" w:hAnsi="仿宋"/>
          <w:b/>
          <w:bCs/>
          <w:kern w:val="0"/>
          <w:sz w:val="28"/>
          <w:szCs w:val="28"/>
        </w:rPr>
        <w:t>4.</w:t>
      </w:r>
      <w:r>
        <w:rPr>
          <w:rFonts w:ascii="仿宋" w:eastAsia="仿宋" w:hAnsi="仿宋"/>
          <w:b/>
          <w:bCs/>
          <w:kern w:val="0"/>
          <w:sz w:val="28"/>
          <w:szCs w:val="28"/>
        </w:rPr>
        <w:t>5</w:t>
      </w:r>
      <w:r w:rsidRPr="004714DA">
        <w:rPr>
          <w:rFonts w:ascii="仿宋" w:eastAsia="仿宋" w:hAnsi="仿宋" w:hint="eastAsia"/>
          <w:b/>
          <w:bCs/>
          <w:kern w:val="0"/>
          <w:sz w:val="28"/>
          <w:szCs w:val="28"/>
        </w:rPr>
        <w:t>人才培养模式被省内外院校学习借鉴</w:t>
      </w:r>
    </w:p>
    <w:p w14:paraId="1C493347" w14:textId="77777777" w:rsidR="00C772BF" w:rsidRPr="004714DA" w:rsidRDefault="00C772BF" w:rsidP="00C772BF">
      <w:pPr>
        <w:spacing w:line="500" w:lineRule="exact"/>
        <w:ind w:firstLineChars="200" w:firstLine="560"/>
        <w:rPr>
          <w:rFonts w:ascii="仿宋" w:eastAsia="仿宋" w:hAnsi="仿宋"/>
          <w:kern w:val="0"/>
          <w:sz w:val="28"/>
          <w:szCs w:val="28"/>
        </w:rPr>
      </w:pPr>
      <w:r w:rsidRPr="004714DA">
        <w:rPr>
          <w:rFonts w:ascii="仿宋" w:eastAsia="仿宋" w:hAnsi="仿宋"/>
          <w:kern w:val="0"/>
          <w:sz w:val="28"/>
          <w:szCs w:val="28"/>
        </w:rPr>
        <w:t>河南农业大学建立的科技小院，获批“河南省农林产教融合示范基地”、“</w:t>
      </w:r>
      <w:r w:rsidRPr="004714DA">
        <w:rPr>
          <w:rFonts w:ascii="仿宋" w:eastAsia="仿宋" w:hAnsi="仿宋" w:hint="eastAsia"/>
          <w:kern w:val="0"/>
          <w:sz w:val="28"/>
          <w:szCs w:val="28"/>
        </w:rPr>
        <w:t>河南省大学生校外实践教育基地</w:t>
      </w:r>
      <w:r w:rsidRPr="004714DA">
        <w:rPr>
          <w:rFonts w:ascii="仿宋" w:eastAsia="仿宋" w:hAnsi="仿宋"/>
          <w:kern w:val="0"/>
          <w:sz w:val="28"/>
          <w:szCs w:val="28"/>
        </w:rPr>
        <w:t>”、“</w:t>
      </w:r>
      <w:r w:rsidRPr="004714DA">
        <w:rPr>
          <w:rFonts w:ascii="仿宋" w:eastAsia="仿宋" w:hAnsi="仿宋" w:hint="eastAsia"/>
          <w:kern w:val="0"/>
          <w:sz w:val="28"/>
          <w:szCs w:val="28"/>
        </w:rPr>
        <w:t>河南省卓越农林人才教育基地</w:t>
      </w:r>
      <w:r w:rsidRPr="004714DA">
        <w:rPr>
          <w:rFonts w:ascii="仿宋" w:eastAsia="仿宋" w:hAnsi="仿宋"/>
          <w:kern w:val="0"/>
          <w:sz w:val="28"/>
          <w:szCs w:val="28"/>
        </w:rPr>
        <w:t>”等，引领了河南省科技小院发展，使河南省科技小院从禹州科技小院1个，发展到河南省科协分4批建立</w:t>
      </w:r>
      <w:r>
        <w:rPr>
          <w:rFonts w:ascii="仿宋" w:eastAsia="仿宋" w:hAnsi="仿宋"/>
          <w:kern w:val="0"/>
          <w:sz w:val="28"/>
          <w:szCs w:val="28"/>
        </w:rPr>
        <w:t>10</w:t>
      </w:r>
      <w:r w:rsidRPr="004714DA">
        <w:rPr>
          <w:rFonts w:ascii="仿宋" w:eastAsia="仿宋" w:hAnsi="仿宋"/>
          <w:kern w:val="0"/>
          <w:sz w:val="28"/>
          <w:szCs w:val="28"/>
        </w:rPr>
        <w:t>8个科技小院。依托河南农业大学，成立了中国农技协科技小院联盟（河南），该成果主持人任秘书长，推动全省科技小院工作。</w:t>
      </w:r>
    </w:p>
    <w:p w14:paraId="4751D813" w14:textId="3F40DDD2" w:rsidR="00DA5617" w:rsidRPr="00C772BF" w:rsidRDefault="00C772BF" w:rsidP="00C772BF">
      <w:r w:rsidRPr="004714DA">
        <w:rPr>
          <w:rFonts w:ascii="仿宋" w:eastAsia="仿宋" w:hAnsi="仿宋"/>
          <w:kern w:val="0"/>
          <w:sz w:val="28"/>
          <w:szCs w:val="28"/>
        </w:rPr>
        <w:t>2022年教育部、农业农村部、中国科协下达了支持建设科技小院名单，河南农业大学的科技小院扩大到24个，也是河南省唯一入选科技小院单位。</w:t>
      </w:r>
      <w:r w:rsidRPr="004714DA">
        <w:rPr>
          <w:rFonts w:ascii="仿宋" w:eastAsia="仿宋" w:hAnsi="仿宋" w:hint="eastAsia"/>
          <w:kern w:val="0"/>
          <w:sz w:val="28"/>
          <w:szCs w:val="28"/>
        </w:rPr>
        <w:t>基于科技小院的大学生人才培养模式已被河南科技学院、青岛农业大学、河南科技大学等国内高校借鉴应用。</w:t>
      </w:r>
    </w:p>
    <w:sectPr w:rsidR="00DA5617" w:rsidRPr="00C772BF">
      <w:pgSz w:w="11906" w:h="16838"/>
      <w:pgMar w:top="1440" w:right="1800" w:bottom="1440" w:left="1800" w:header="851" w:footer="992" w:gutter="0"/>
      <w:cols w:space="425"/>
      <w:docGrid w:type="lines" w:linePitch="31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1EB3E5E" w14:textId="77777777" w:rsidR="003E6C3B" w:rsidRDefault="003E6C3B" w:rsidP="00C47F7D">
      <w:r>
        <w:separator/>
      </w:r>
    </w:p>
  </w:endnote>
  <w:endnote w:type="continuationSeparator" w:id="0">
    <w:p w14:paraId="24D2525E" w14:textId="77777777" w:rsidR="003E6C3B" w:rsidRDefault="003E6C3B" w:rsidP="00C47F7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等线">
    <w:altName w:val="DengXian"/>
    <w:panose1 w:val="02010600030101010101"/>
    <w:charset w:val="86"/>
    <w:family w:val="auto"/>
    <w:pitch w:val="variable"/>
    <w:sig w:usb0="A00002BF" w:usb1="38CF7CFA" w:usb2="00000016" w:usb3="00000000" w:csb0="0004000F" w:csb1="00000000"/>
  </w:font>
  <w:font w:name="Times New Roman">
    <w:panose1 w:val="02020603050405020304"/>
    <w:charset w:val="00"/>
    <w:family w:val="roman"/>
    <w:pitch w:val="variable"/>
    <w:sig w:usb0="E0002EFF" w:usb1="C000785B" w:usb2="00000009" w:usb3="00000000" w:csb0="000001FF" w:csb1="00000000"/>
  </w:font>
  <w:font w:name="仿宋_GB2312">
    <w:altName w:val="仿宋"/>
    <w:charset w:val="86"/>
    <w:family w:val="modern"/>
    <w:pitch w:val="default"/>
    <w:sig w:usb0="00000000" w:usb1="00000000" w:usb2="00000010" w:usb3="00000000" w:csb0="00040000" w:csb1="00000000"/>
  </w:font>
  <w:font w:name="宋体">
    <w:altName w:val="SimSun"/>
    <w:panose1 w:val="02010600030101010101"/>
    <w:charset w:val="86"/>
    <w:family w:val="auto"/>
    <w:pitch w:val="variable"/>
    <w:sig w:usb0="00000203" w:usb1="288F0000" w:usb2="00000016" w:usb3="00000000" w:csb0="00040001" w:csb1="00000000"/>
  </w:font>
  <w:font w:name="仿宋">
    <w:panose1 w:val="02010609060101010101"/>
    <w:charset w:val="86"/>
    <w:family w:val="modern"/>
    <w:pitch w:val="fixed"/>
    <w:sig w:usb0="800002BF" w:usb1="38CF7CFA" w:usb2="00000016" w:usb3="00000000" w:csb0="00040001" w:csb1="00000000"/>
  </w:font>
  <w:font w:name="等线 Light">
    <w:panose1 w:val="02010600030101010101"/>
    <w:charset w:val="86"/>
    <w:family w:val="auto"/>
    <w:pitch w:val="variable"/>
    <w:sig w:usb0="A00002BF" w:usb1="38CF7CFA" w:usb2="00000016" w:usb3="00000000" w:csb0="0004000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F397DE4" w14:textId="77777777" w:rsidR="003E6C3B" w:rsidRDefault="003E6C3B" w:rsidP="00C47F7D">
      <w:r>
        <w:separator/>
      </w:r>
    </w:p>
  </w:footnote>
  <w:footnote w:type="continuationSeparator" w:id="0">
    <w:p w14:paraId="7FD178C2" w14:textId="77777777" w:rsidR="003E6C3B" w:rsidRDefault="003E6C3B" w:rsidP="00C47F7D">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proofState w:spelling="clean"/>
  <w:defaultTabStop w:val="420"/>
  <w:drawingGridVerticalSpacing w:val="156"/>
  <w:displayHorizontalDrawingGridEvery w:val="0"/>
  <w:displayVerticalDrawingGridEvery w:val="2"/>
  <w:characterSpacingControl w:val="compressPunctuation"/>
  <w:hdrShapeDefaults>
    <o:shapedefaults v:ext="edit" spidmax="2050"/>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A5617"/>
    <w:rsid w:val="003E6C3B"/>
    <w:rsid w:val="0053358E"/>
    <w:rsid w:val="00C47F7D"/>
    <w:rsid w:val="00C772BF"/>
    <w:rsid w:val="00DA5617"/>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D7156F9"/>
  <w15:chartTrackingRefBased/>
  <w15:docId w15:val="{BE47D836-F378-440C-BB00-7972B1C909F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C47F7D"/>
    <w:pPr>
      <w:widowControl w:val="0"/>
      <w:jc w:val="both"/>
    </w:pPr>
    <w:rPr>
      <w:rFonts w:ascii="Times New Roman" w:eastAsia="仿宋_GB2312" w:hAnsi="Times New Roman" w:cs="Times New Roman"/>
      <w:sz w:val="30"/>
      <w:szCs w:val="3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C47F7D"/>
    <w:pPr>
      <w:pBdr>
        <w:bottom w:val="single" w:sz="6" w:space="1" w:color="auto"/>
      </w:pBdr>
      <w:tabs>
        <w:tab w:val="center" w:pos="4153"/>
        <w:tab w:val="right" w:pos="8306"/>
      </w:tabs>
      <w:snapToGrid w:val="0"/>
      <w:jc w:val="center"/>
    </w:pPr>
    <w:rPr>
      <w:rFonts w:asciiTheme="minorHAnsi" w:eastAsiaTheme="minorEastAsia" w:hAnsiTheme="minorHAnsi" w:cstheme="minorBidi"/>
      <w:sz w:val="18"/>
      <w:szCs w:val="18"/>
    </w:rPr>
  </w:style>
  <w:style w:type="character" w:customStyle="1" w:styleId="a4">
    <w:name w:val="页眉 字符"/>
    <w:basedOn w:val="a0"/>
    <w:link w:val="a3"/>
    <w:uiPriority w:val="99"/>
    <w:rsid w:val="00C47F7D"/>
    <w:rPr>
      <w:sz w:val="18"/>
      <w:szCs w:val="18"/>
    </w:rPr>
  </w:style>
  <w:style w:type="paragraph" w:styleId="a5">
    <w:name w:val="footer"/>
    <w:basedOn w:val="a"/>
    <w:link w:val="a6"/>
    <w:uiPriority w:val="99"/>
    <w:unhideWhenUsed/>
    <w:rsid w:val="00C47F7D"/>
    <w:pPr>
      <w:tabs>
        <w:tab w:val="center" w:pos="4153"/>
        <w:tab w:val="right" w:pos="8306"/>
      </w:tabs>
      <w:snapToGrid w:val="0"/>
      <w:jc w:val="left"/>
    </w:pPr>
    <w:rPr>
      <w:rFonts w:asciiTheme="minorHAnsi" w:eastAsiaTheme="minorEastAsia" w:hAnsiTheme="minorHAnsi" w:cstheme="minorBidi"/>
      <w:sz w:val="18"/>
      <w:szCs w:val="18"/>
    </w:rPr>
  </w:style>
  <w:style w:type="character" w:customStyle="1" w:styleId="a6">
    <w:name w:val="页脚 字符"/>
    <w:basedOn w:val="a0"/>
    <w:link w:val="a5"/>
    <w:uiPriority w:val="99"/>
    <w:rsid w:val="00C47F7D"/>
    <w:rPr>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chart" Target="charts/chart2.xml"/><Relationship Id="rId3" Type="http://schemas.openxmlformats.org/officeDocument/2006/relationships/webSettings" Target="webSettings.xml"/><Relationship Id="rId7" Type="http://schemas.openxmlformats.org/officeDocument/2006/relationships/chart" Target="charts/chart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png"/><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s>
</file>

<file path=word/charts/_rels/chart1.xml.rels><?xml version="1.0" encoding="UTF-8" standalone="yes"?>
<Relationships xmlns="http://schemas.openxmlformats.org/package/2006/relationships"><Relationship Id="rId1" Type="http://schemas.openxmlformats.org/officeDocument/2006/relationships/oleObject" Target="file:///C:\Users\hp\Desktop\&#24453;&#21150;&#24037;&#20316;\&#31185;&#25216;&#23567;&#38498;&#20154;&#21592;&#21435;&#21521;&#34920;.xlsx" TargetMode="External"/></Relationships>
</file>

<file path=word/charts/_rels/chart2.xml.rels><?xml version="1.0" encoding="UTF-8" standalone="yes"?>
<Relationships xmlns="http://schemas.openxmlformats.org/package/2006/relationships"><Relationship Id="rId3" Type="http://schemas.openxmlformats.org/officeDocument/2006/relationships/oleObject" Target="file:///C:\Users\&#23567;&#40614;&#31319;\Desktop\&#23454;&#39564;&#26041;&#26696;.xlsx" TargetMode="External"/><Relationship Id="rId2" Type="http://schemas.microsoft.com/office/2011/relationships/chartColorStyle" Target="colors1.xml"/><Relationship Id="rId1" Type="http://schemas.microsoft.com/office/2011/relationships/chartStyle" Target="style1.xml"/></Relationships>
</file>

<file path=word/charts/chart1.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manualLayout>
          <c:layoutTarget val="inner"/>
          <c:xMode val="edge"/>
          <c:yMode val="edge"/>
          <c:x val="0.15279855643044599"/>
          <c:y val="9.2592592592592601E-2"/>
          <c:w val="0.75682977895973202"/>
          <c:h val="0.74390475814897095"/>
        </c:manualLayout>
      </c:layout>
      <c:barChart>
        <c:barDir val="col"/>
        <c:grouping val="clustered"/>
        <c:varyColors val="0"/>
        <c:ser>
          <c:idx val="0"/>
          <c:order val="0"/>
          <c:spPr>
            <a:solidFill>
              <a:schemeClr val="tx1"/>
            </a:solidFill>
          </c:spPr>
          <c:invertIfNegative val="0"/>
          <c:dPt>
            <c:idx val="0"/>
            <c:invertIfNegative val="0"/>
            <c:bubble3D val="0"/>
            <c:spPr>
              <a:solidFill>
                <a:srgbClr val="00B050"/>
              </a:solidFill>
            </c:spPr>
            <c:extLst>
              <c:ext xmlns:c16="http://schemas.microsoft.com/office/drawing/2014/chart" uri="{C3380CC4-5D6E-409C-BE32-E72D297353CC}">
                <c16:uniqueId val="{00000001-CBC9-481D-8665-1CE144186338}"/>
              </c:ext>
            </c:extLst>
          </c:dPt>
          <c:dPt>
            <c:idx val="1"/>
            <c:invertIfNegative val="0"/>
            <c:bubble3D val="0"/>
            <c:spPr>
              <a:solidFill>
                <a:srgbClr val="00B050"/>
              </a:solidFill>
            </c:spPr>
            <c:extLst>
              <c:ext xmlns:c16="http://schemas.microsoft.com/office/drawing/2014/chart" uri="{C3380CC4-5D6E-409C-BE32-E72D297353CC}">
                <c16:uniqueId val="{00000003-CBC9-481D-8665-1CE144186338}"/>
              </c:ext>
            </c:extLst>
          </c:dPt>
          <c:dPt>
            <c:idx val="2"/>
            <c:invertIfNegative val="0"/>
            <c:bubble3D val="0"/>
            <c:spPr>
              <a:solidFill>
                <a:srgbClr val="00B050"/>
              </a:solidFill>
            </c:spPr>
            <c:extLst>
              <c:ext xmlns:c16="http://schemas.microsoft.com/office/drawing/2014/chart" uri="{C3380CC4-5D6E-409C-BE32-E72D297353CC}">
                <c16:uniqueId val="{00000005-CBC9-481D-8665-1CE144186338}"/>
              </c:ext>
            </c:extLst>
          </c:dPt>
          <c:dPt>
            <c:idx val="3"/>
            <c:invertIfNegative val="0"/>
            <c:bubble3D val="0"/>
            <c:spPr>
              <a:solidFill>
                <a:srgbClr val="00B050"/>
              </a:solidFill>
            </c:spPr>
            <c:extLst>
              <c:ext xmlns:c16="http://schemas.microsoft.com/office/drawing/2014/chart" uri="{C3380CC4-5D6E-409C-BE32-E72D297353CC}">
                <c16:uniqueId val="{00000007-CBC9-481D-8665-1CE144186338}"/>
              </c:ext>
            </c:extLst>
          </c:dPt>
          <c:cat>
            <c:strRef>
              <c:f>Sheet1!$L$12:$O$12</c:f>
              <c:strCache>
                <c:ptCount val="4"/>
                <c:pt idx="0">
                  <c:v>企业</c:v>
                </c:pt>
                <c:pt idx="1">
                  <c:v>事业单位</c:v>
                </c:pt>
                <c:pt idx="2">
                  <c:v>考研</c:v>
                </c:pt>
                <c:pt idx="3">
                  <c:v>自主创业</c:v>
                </c:pt>
              </c:strCache>
            </c:strRef>
          </c:cat>
          <c:val>
            <c:numRef>
              <c:f>Sheet1!$L$13:$O$13</c:f>
              <c:numCache>
                <c:formatCode>General</c:formatCode>
                <c:ptCount val="4"/>
                <c:pt idx="0">
                  <c:v>24</c:v>
                </c:pt>
                <c:pt idx="1">
                  <c:v>2</c:v>
                </c:pt>
                <c:pt idx="2">
                  <c:v>51</c:v>
                </c:pt>
                <c:pt idx="3">
                  <c:v>3</c:v>
                </c:pt>
              </c:numCache>
            </c:numRef>
          </c:val>
          <c:extLst>
            <c:ext xmlns:c16="http://schemas.microsoft.com/office/drawing/2014/chart" uri="{C3380CC4-5D6E-409C-BE32-E72D297353CC}">
              <c16:uniqueId val="{00000008-CBC9-481D-8665-1CE144186338}"/>
            </c:ext>
          </c:extLst>
        </c:ser>
        <c:dLbls>
          <c:showLegendKey val="0"/>
          <c:showVal val="0"/>
          <c:showCatName val="0"/>
          <c:showSerName val="0"/>
          <c:showPercent val="0"/>
          <c:showBubbleSize val="0"/>
        </c:dLbls>
        <c:gapWidth val="150"/>
        <c:axId val="428021632"/>
        <c:axId val="205930496"/>
      </c:barChart>
      <c:catAx>
        <c:axId val="428021632"/>
        <c:scaling>
          <c:orientation val="minMax"/>
        </c:scaling>
        <c:delete val="0"/>
        <c:axPos val="b"/>
        <c:numFmt formatCode="General" sourceLinked="0"/>
        <c:majorTickMark val="out"/>
        <c:minorTickMark val="none"/>
        <c:tickLblPos val="nextTo"/>
        <c:txPr>
          <a:bodyPr rot="-60000000" spcFirstLastPara="0" vertOverflow="ellipsis" vert="horz" wrap="square" anchor="ctr" anchorCtr="1"/>
          <a:lstStyle/>
          <a:p>
            <a:pPr>
              <a:defRPr lang="zh-CN" sz="1000" b="0" i="0" u="none" strike="noStrike" kern="1200" baseline="0">
                <a:solidFill>
                  <a:schemeClr val="tx1"/>
                </a:solidFill>
                <a:latin typeface="宋体" panose="02010600030101010101" charset="-122"/>
                <a:ea typeface="宋体" panose="02010600030101010101" charset="-122"/>
                <a:cs typeface="宋体" panose="02010600030101010101" charset="-122"/>
                <a:sym typeface="宋体" panose="02010600030101010101" charset="-122"/>
              </a:defRPr>
            </a:pPr>
            <a:endParaRPr lang="zh-CN"/>
          </a:p>
        </c:txPr>
        <c:crossAx val="205930496"/>
        <c:crosses val="autoZero"/>
        <c:auto val="1"/>
        <c:lblAlgn val="ctr"/>
        <c:lblOffset val="100"/>
        <c:noMultiLvlLbl val="0"/>
      </c:catAx>
      <c:valAx>
        <c:axId val="205930496"/>
        <c:scaling>
          <c:orientation val="minMax"/>
        </c:scaling>
        <c:delete val="0"/>
        <c:axPos val="l"/>
        <c:title>
          <c:tx>
            <c:rich>
              <a:bodyPr rot="-5400000" spcFirstLastPara="0" vertOverflow="ellipsis" vert="horz" wrap="square" anchor="ctr" anchorCtr="1"/>
              <a:lstStyle/>
              <a:p>
                <a:pPr>
                  <a:defRPr lang="zh-CN" sz="1000" b="1" i="0" u="none" strike="noStrike" kern="1200" baseline="0">
                    <a:solidFill>
                      <a:schemeClr val="tx1"/>
                    </a:solidFill>
                    <a:latin typeface="宋体" panose="02010600030101010101" charset="-122"/>
                    <a:ea typeface="宋体" panose="02010600030101010101" charset="-122"/>
                    <a:cs typeface="宋体" panose="02010600030101010101" charset="-122"/>
                    <a:sym typeface="宋体" panose="02010600030101010101" charset="-122"/>
                  </a:defRPr>
                </a:pPr>
                <a:r>
                  <a:rPr lang="zh-CN" altLang="en-US" b="0">
                    <a:latin typeface="宋体" panose="02010600030101010101" charset="-122"/>
                    <a:ea typeface="宋体" panose="02010600030101010101" charset="-122"/>
                    <a:cs typeface="宋体" panose="02010600030101010101" charset="-122"/>
                    <a:sym typeface="宋体" panose="02010600030101010101" charset="-122"/>
                  </a:rPr>
                  <a:t>人数</a:t>
                </a:r>
              </a:p>
            </c:rich>
          </c:tx>
          <c:layout>
            <c:manualLayout>
              <c:xMode val="edge"/>
              <c:yMode val="edge"/>
              <c:x val="3.2821487821900301E-2"/>
              <c:y val="0.271627690945977"/>
            </c:manualLayout>
          </c:layout>
          <c:overlay val="0"/>
        </c:title>
        <c:numFmt formatCode="General" sourceLinked="1"/>
        <c:majorTickMark val="out"/>
        <c:minorTickMark val="none"/>
        <c:tickLblPos val="nextTo"/>
        <c:txPr>
          <a:bodyPr rot="-60000000" spcFirstLastPara="0" vertOverflow="ellipsis" vert="horz" wrap="square" anchor="ctr" anchorCtr="1"/>
          <a:lstStyle/>
          <a:p>
            <a:pPr>
              <a:defRPr lang="zh-CN" sz="1000" b="0" i="0" u="none" strike="noStrike" kern="1200" baseline="0">
                <a:solidFill>
                  <a:schemeClr val="tx1"/>
                </a:solidFill>
                <a:latin typeface="Times New Roman" panose="02020603050405020304" charset="0"/>
                <a:ea typeface="Times New Roman" panose="02020603050405020304" charset="0"/>
                <a:cs typeface="Times New Roman" panose="02020603050405020304" charset="0"/>
                <a:sym typeface="Times New Roman" panose="02020603050405020304" charset="0"/>
              </a:defRPr>
            </a:pPr>
            <a:endParaRPr lang="zh-CN"/>
          </a:p>
        </c:txPr>
        <c:crossAx val="428021632"/>
        <c:crosses val="autoZero"/>
        <c:crossBetween val="between"/>
      </c:valAx>
    </c:plotArea>
    <c:plotVisOnly val="1"/>
    <c:dispBlanksAs val="gap"/>
    <c:showDLblsOverMax val="0"/>
  </c:chart>
  <c:spPr>
    <a:ln w="9525" cap="flat" cmpd="sng" algn="ctr">
      <a:noFill/>
      <a:prstDash val="solid"/>
      <a:round/>
    </a:ln>
  </c:spPr>
  <c:txPr>
    <a:bodyPr/>
    <a:lstStyle/>
    <a:p>
      <a:pPr>
        <a:defRPr lang="zh-CN">
          <a:latin typeface="宋体" panose="02010600030101010101" charset="-122"/>
          <a:ea typeface="宋体" panose="02010600030101010101" charset="-122"/>
          <a:cs typeface="宋体" panose="02010600030101010101" charset="-122"/>
          <a:sym typeface="宋体" panose="02010600030101010101" charset="-122"/>
        </a:defRPr>
      </a:pPr>
      <a:endParaRPr lang="zh-CN"/>
    </a:p>
  </c:txPr>
  <c:externalData r:id="rId1">
    <c:autoUpdate val="0"/>
  </c:externalData>
</c:chartSpace>
</file>

<file path=word/charts/chart2.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manualLayout>
          <c:layoutTarget val="inner"/>
          <c:xMode val="edge"/>
          <c:yMode val="edge"/>
          <c:x val="0.25997366688610901"/>
          <c:y val="0.13610149942329899"/>
          <c:w val="0.43001974983541802"/>
          <c:h val="0.75340253748558295"/>
        </c:manualLayout>
      </c:layout>
      <c:pieChart>
        <c:varyColors val="1"/>
        <c:ser>
          <c:idx val="0"/>
          <c:order val="0"/>
          <c:dPt>
            <c:idx val="0"/>
            <c:bubble3D val="0"/>
            <c:spPr>
              <a:solidFill>
                <a:schemeClr val="accent1"/>
              </a:solidFill>
              <a:ln>
                <a:solidFill>
                  <a:schemeClr val="bg1"/>
                </a:solidFill>
              </a:ln>
              <a:effectLst/>
            </c:spPr>
            <c:extLst>
              <c:ext xmlns:c16="http://schemas.microsoft.com/office/drawing/2014/chart" uri="{C3380CC4-5D6E-409C-BE32-E72D297353CC}">
                <c16:uniqueId val="{00000001-25D3-4712-A834-303C36C43D1F}"/>
              </c:ext>
            </c:extLst>
          </c:dPt>
          <c:dPt>
            <c:idx val="1"/>
            <c:bubble3D val="0"/>
            <c:spPr>
              <a:solidFill>
                <a:schemeClr val="accent2"/>
              </a:solidFill>
              <a:ln>
                <a:solidFill>
                  <a:schemeClr val="bg1"/>
                </a:solidFill>
              </a:ln>
              <a:effectLst/>
            </c:spPr>
            <c:extLst>
              <c:ext xmlns:c16="http://schemas.microsoft.com/office/drawing/2014/chart" uri="{C3380CC4-5D6E-409C-BE32-E72D297353CC}">
                <c16:uniqueId val="{00000003-25D3-4712-A834-303C36C43D1F}"/>
              </c:ext>
            </c:extLst>
          </c:dPt>
          <c:dPt>
            <c:idx val="2"/>
            <c:bubble3D val="0"/>
            <c:spPr>
              <a:solidFill>
                <a:schemeClr val="accent3"/>
              </a:solidFill>
              <a:ln>
                <a:solidFill>
                  <a:schemeClr val="bg1"/>
                </a:solidFill>
              </a:ln>
              <a:effectLst/>
            </c:spPr>
            <c:extLst>
              <c:ext xmlns:c16="http://schemas.microsoft.com/office/drawing/2014/chart" uri="{C3380CC4-5D6E-409C-BE32-E72D297353CC}">
                <c16:uniqueId val="{00000005-25D3-4712-A834-303C36C43D1F}"/>
              </c:ext>
            </c:extLst>
          </c:dPt>
          <c:dPt>
            <c:idx val="3"/>
            <c:bubble3D val="0"/>
            <c:spPr>
              <a:solidFill>
                <a:schemeClr val="accent4"/>
              </a:solidFill>
              <a:ln>
                <a:solidFill>
                  <a:schemeClr val="bg1"/>
                </a:solidFill>
              </a:ln>
              <a:effectLst/>
            </c:spPr>
            <c:extLst>
              <c:ext xmlns:c16="http://schemas.microsoft.com/office/drawing/2014/chart" uri="{C3380CC4-5D6E-409C-BE32-E72D297353CC}">
                <c16:uniqueId val="{00000007-25D3-4712-A834-303C36C43D1F}"/>
              </c:ext>
            </c:extLst>
          </c:dPt>
          <c:dPt>
            <c:idx val="4"/>
            <c:bubble3D val="0"/>
            <c:spPr>
              <a:solidFill>
                <a:schemeClr val="accent5"/>
              </a:solidFill>
              <a:ln>
                <a:solidFill>
                  <a:schemeClr val="bg1"/>
                </a:solidFill>
              </a:ln>
              <a:effectLst/>
            </c:spPr>
            <c:extLst>
              <c:ext xmlns:c16="http://schemas.microsoft.com/office/drawing/2014/chart" uri="{C3380CC4-5D6E-409C-BE32-E72D297353CC}">
                <c16:uniqueId val="{00000009-25D3-4712-A834-303C36C43D1F}"/>
              </c:ext>
            </c:extLst>
          </c:dPt>
          <c:dLbls>
            <c:dLbl>
              <c:idx val="0"/>
              <c:layout>
                <c:manualLayout>
                  <c:x val="-0.14947818401247701"/>
                  <c:y val="5.2452059672495603E-2"/>
                </c:manualLayout>
              </c:layout>
              <c:tx>
                <c:rich>
                  <a:bodyPr/>
                  <a:lstStyle/>
                  <a:p>
                    <a:r>
                      <a:rPr lang="en-US" altLang="zh-CN">
                        <a:latin typeface="Times New Roman" panose="02020603050405020304" charset="0"/>
                        <a:ea typeface="Times New Roman" panose="02020603050405020304" charset="0"/>
                        <a:cs typeface="Times New Roman" panose="02020603050405020304" charset="0"/>
                        <a:sym typeface="Times New Roman" panose="02020603050405020304" charset="0"/>
                      </a:rPr>
                      <a:t>43.1%</a:t>
                    </a:r>
                  </a:p>
                </c:rich>
              </c:tx>
              <c:dLblPos val="bestFit"/>
              <c:showLegendKey val="0"/>
              <c:showVal val="1"/>
              <c:showCatName val="0"/>
              <c:showSerName val="0"/>
              <c:showPercent val="0"/>
              <c:showBubbleSize val="0"/>
              <c:extLst>
                <c:ext xmlns:c15="http://schemas.microsoft.com/office/drawing/2012/chart" uri="{CE6537A1-D6FC-4f65-9D91-7224C49458BB}">
                  <c15:showDataLabelsRange val="0"/>
                </c:ext>
                <c:ext xmlns:c16="http://schemas.microsoft.com/office/drawing/2014/chart" uri="{C3380CC4-5D6E-409C-BE32-E72D297353CC}">
                  <c16:uniqueId val="{00000001-25D3-4712-A834-303C36C43D1F}"/>
                </c:ext>
              </c:extLst>
            </c:dLbl>
            <c:dLbl>
              <c:idx val="1"/>
              <c:layout>
                <c:manualLayout>
                  <c:x val="1.50333910525663E-2"/>
                  <c:y val="-0.12993117764919801"/>
                </c:manualLayout>
              </c:layout>
              <c:tx>
                <c:rich>
                  <a:bodyPr/>
                  <a:lstStyle/>
                  <a:p>
                    <a:r>
                      <a:rPr lang="en-US" altLang="zh-CN">
                        <a:latin typeface="Times New Roman" panose="02020603050405020304" charset="0"/>
                        <a:ea typeface="Times New Roman" panose="02020603050405020304" charset="0"/>
                        <a:cs typeface="Times New Roman" panose="02020603050405020304" charset="0"/>
                        <a:sym typeface="Times New Roman" panose="02020603050405020304" charset="0"/>
                      </a:rPr>
                      <a:t>17.6%</a:t>
                    </a:r>
                  </a:p>
                </c:rich>
              </c:tx>
              <c:dLblPos val="bestFit"/>
              <c:showLegendKey val="0"/>
              <c:showVal val="1"/>
              <c:showCatName val="0"/>
              <c:showSerName val="0"/>
              <c:showPercent val="0"/>
              <c:showBubbleSize val="0"/>
              <c:extLst>
                <c:ext xmlns:c15="http://schemas.microsoft.com/office/drawing/2012/chart" uri="{CE6537A1-D6FC-4f65-9D91-7224C49458BB}">
                  <c15:showDataLabelsRange val="0"/>
                </c:ext>
                <c:ext xmlns:c16="http://schemas.microsoft.com/office/drawing/2014/chart" uri="{C3380CC4-5D6E-409C-BE32-E72D297353CC}">
                  <c16:uniqueId val="{00000003-25D3-4712-A834-303C36C43D1F}"/>
                </c:ext>
              </c:extLst>
            </c:dLbl>
            <c:dLbl>
              <c:idx val="2"/>
              <c:layout>
                <c:manualLayout>
                  <c:x val="0.108728359751902"/>
                  <c:y val="-5.9118141759280297E-2"/>
                </c:manualLayout>
              </c:layout>
              <c:tx>
                <c:rich>
                  <a:bodyPr/>
                  <a:lstStyle/>
                  <a:p>
                    <a:r>
                      <a:rPr lang="en-US" altLang="zh-CN">
                        <a:latin typeface="Times New Roman" panose="02020603050405020304" charset="0"/>
                        <a:ea typeface="Times New Roman" panose="02020603050405020304" charset="0"/>
                        <a:cs typeface="Times New Roman" panose="02020603050405020304" charset="0"/>
                        <a:sym typeface="Times New Roman" panose="02020603050405020304" charset="0"/>
                      </a:rPr>
                      <a:t>15.7%</a:t>
                    </a:r>
                  </a:p>
                </c:rich>
              </c:tx>
              <c:dLblPos val="bestFit"/>
              <c:showLegendKey val="0"/>
              <c:showVal val="1"/>
              <c:showCatName val="0"/>
              <c:showSerName val="0"/>
              <c:showPercent val="0"/>
              <c:showBubbleSize val="0"/>
              <c:extLst>
                <c:ext xmlns:c15="http://schemas.microsoft.com/office/drawing/2012/chart" uri="{CE6537A1-D6FC-4f65-9D91-7224C49458BB}">
                  <c15:showDataLabelsRange val="0"/>
                </c:ext>
                <c:ext xmlns:c16="http://schemas.microsoft.com/office/drawing/2014/chart" uri="{C3380CC4-5D6E-409C-BE32-E72D297353CC}">
                  <c16:uniqueId val="{00000005-25D3-4712-A834-303C36C43D1F}"/>
                </c:ext>
              </c:extLst>
            </c:dLbl>
            <c:dLbl>
              <c:idx val="3"/>
              <c:layout>
                <c:manualLayout>
                  <c:x val="8.8107182898757797E-2"/>
                  <c:y val="5.9405907192822599E-2"/>
                </c:manualLayout>
              </c:layout>
              <c:tx>
                <c:rich>
                  <a:bodyPr/>
                  <a:lstStyle/>
                  <a:p>
                    <a:r>
                      <a:rPr lang="en-US" altLang="zh-CN">
                        <a:latin typeface="Times New Roman" panose="02020603050405020304" charset="0"/>
                        <a:ea typeface="Times New Roman" panose="02020603050405020304" charset="0"/>
                        <a:cs typeface="Times New Roman" panose="02020603050405020304" charset="0"/>
                        <a:sym typeface="Times New Roman" panose="02020603050405020304" charset="0"/>
                      </a:rPr>
                      <a:t>9.8%</a:t>
                    </a:r>
                  </a:p>
                </c:rich>
              </c:tx>
              <c:dLblPos val="bestFit"/>
              <c:showLegendKey val="0"/>
              <c:showVal val="1"/>
              <c:showCatName val="0"/>
              <c:showSerName val="0"/>
              <c:showPercent val="0"/>
              <c:showBubbleSize val="0"/>
              <c:extLst>
                <c:ext xmlns:c15="http://schemas.microsoft.com/office/drawing/2012/chart" uri="{CE6537A1-D6FC-4f65-9D91-7224C49458BB}">
                  <c15:showDataLabelsRange val="0"/>
                </c:ext>
                <c:ext xmlns:c16="http://schemas.microsoft.com/office/drawing/2014/chart" uri="{C3380CC4-5D6E-409C-BE32-E72D297353CC}">
                  <c16:uniqueId val="{00000007-25D3-4712-A834-303C36C43D1F}"/>
                </c:ext>
              </c:extLst>
            </c:dLbl>
            <c:dLbl>
              <c:idx val="4"/>
              <c:layout>
                <c:manualLayout>
                  <c:x val="5.4188631354743597E-2"/>
                  <c:y val="0.10924682329709701"/>
                </c:manualLayout>
              </c:layout>
              <c:tx>
                <c:rich>
                  <a:bodyPr/>
                  <a:lstStyle/>
                  <a:p>
                    <a:r>
                      <a:rPr lang="en-US" altLang="zh-CN">
                        <a:latin typeface="Times New Roman" panose="02020603050405020304" charset="0"/>
                        <a:ea typeface="Times New Roman" panose="02020603050405020304" charset="0"/>
                        <a:cs typeface="Times New Roman" panose="02020603050405020304" charset="0"/>
                        <a:sym typeface="Times New Roman" panose="02020603050405020304" charset="0"/>
                      </a:rPr>
                      <a:t>13.7%</a:t>
                    </a:r>
                  </a:p>
                </c:rich>
              </c:tx>
              <c:dLblPos val="bestFit"/>
              <c:showLegendKey val="0"/>
              <c:showVal val="1"/>
              <c:showCatName val="0"/>
              <c:showSerName val="0"/>
              <c:showPercent val="0"/>
              <c:showBubbleSize val="0"/>
              <c:extLst>
                <c:ext xmlns:c15="http://schemas.microsoft.com/office/drawing/2012/chart" uri="{CE6537A1-D6FC-4f65-9D91-7224C49458BB}">
                  <c15:showDataLabelsRange val="0"/>
                </c:ext>
                <c:ext xmlns:c16="http://schemas.microsoft.com/office/drawing/2014/chart" uri="{C3380CC4-5D6E-409C-BE32-E72D297353CC}">
                  <c16:uniqueId val="{00000009-25D3-4712-A834-303C36C43D1F}"/>
                </c:ext>
              </c:extLst>
            </c:dLbl>
            <c:spPr>
              <a:noFill/>
              <a:ln>
                <a:noFill/>
              </a:ln>
              <a:effectLst/>
            </c:spPr>
            <c:txPr>
              <a:bodyPr rot="0" spcFirstLastPara="0" vertOverflow="ellipsis" vert="horz" wrap="square" lIns="38100" tIns="19050" rIns="38100" bIns="19050" anchor="ctr" anchorCtr="1"/>
              <a:lstStyle/>
              <a:p>
                <a:pPr>
                  <a:defRPr lang="zh-CN" sz="1000" b="0" i="0" u="none" strike="noStrike" kern="1200" baseline="0">
                    <a:solidFill>
                      <a:schemeClr val="tx1">
                        <a:lumMod val="75000"/>
                        <a:lumOff val="25000"/>
                      </a:schemeClr>
                    </a:solidFill>
                    <a:latin typeface="Times New Roman" panose="02020603050405020304" charset="0"/>
                    <a:ea typeface="Times New Roman" panose="02020603050405020304" charset="0"/>
                    <a:cs typeface="Times New Roman" panose="02020603050405020304" charset="0"/>
                    <a:sym typeface="Times New Roman" panose="02020603050405020304" charset="0"/>
                  </a:defRPr>
                </a:pPr>
                <a:endParaRPr lang="zh-CN"/>
              </a:p>
            </c:txPr>
            <c:dLblPos val="bestFit"/>
            <c:showLegendKey val="0"/>
            <c:showVal val="0"/>
            <c:showCatName val="0"/>
            <c:showSerName val="0"/>
            <c:showPercent val="0"/>
            <c:showBubbleSize val="0"/>
            <c:extLst>
              <c:ext xmlns:c15="http://schemas.microsoft.com/office/drawing/2012/chart" uri="{CE6537A1-D6FC-4f65-9D91-7224C49458BB}"/>
            </c:extLst>
          </c:dLbls>
          <c:cat>
            <c:strRef>
              <c:f>[实验方案.xlsx]Sheet1!$B$38:$B$42</c:f>
              <c:strCache>
                <c:ptCount val="5"/>
                <c:pt idx="0">
                  <c:v>河南农业大学</c:v>
                </c:pt>
                <c:pt idx="1">
                  <c:v>中国农业大学</c:v>
                </c:pt>
                <c:pt idx="2">
                  <c:v>西北农林科技大学</c:v>
                </c:pt>
                <c:pt idx="3">
                  <c:v>华中农业大学</c:v>
                </c:pt>
                <c:pt idx="4">
                  <c:v>其他院校</c:v>
                </c:pt>
              </c:strCache>
            </c:strRef>
          </c:cat>
          <c:val>
            <c:numRef>
              <c:f>[实验方案.xlsx]Sheet1!$C$38:$C$42</c:f>
              <c:numCache>
                <c:formatCode>General</c:formatCode>
                <c:ptCount val="5"/>
                <c:pt idx="0">
                  <c:v>43.1</c:v>
                </c:pt>
                <c:pt idx="1">
                  <c:v>17.600000000000001</c:v>
                </c:pt>
                <c:pt idx="2">
                  <c:v>15.7</c:v>
                </c:pt>
                <c:pt idx="3">
                  <c:v>9.8000000000000007</c:v>
                </c:pt>
                <c:pt idx="4">
                  <c:v>13.7</c:v>
                </c:pt>
              </c:numCache>
            </c:numRef>
          </c:val>
          <c:extLst>
            <c:ext xmlns:c16="http://schemas.microsoft.com/office/drawing/2014/chart" uri="{C3380CC4-5D6E-409C-BE32-E72D297353CC}">
              <c16:uniqueId val="{0000000A-25D3-4712-A834-303C36C43D1F}"/>
            </c:ext>
          </c:extLst>
        </c:ser>
        <c:dLbls>
          <c:showLegendKey val="0"/>
          <c:showVal val="0"/>
          <c:showCatName val="0"/>
          <c:showSerName val="0"/>
          <c:showPercent val="0"/>
          <c:showBubbleSize val="0"/>
          <c:showLeaderLines val="1"/>
        </c:dLbls>
        <c:firstSliceAng val="0"/>
      </c:pieChart>
      <c:spPr>
        <a:noFill/>
        <a:ln>
          <a:noFill/>
        </a:ln>
        <a:effectLst/>
      </c:spPr>
    </c:plotArea>
    <c:legend>
      <c:legendPos val="t"/>
      <c:legendEntry>
        <c:idx val="0"/>
        <c:txPr>
          <a:bodyPr rot="0" spcFirstLastPara="0" vertOverflow="ellipsis" vert="horz" wrap="square" anchor="ctr" anchorCtr="1"/>
          <a:lstStyle/>
          <a:p>
            <a:pPr>
              <a:defRPr lang="zh-CN" sz="1000" b="0" i="0" u="none" strike="noStrike" kern="1200" baseline="0">
                <a:solidFill>
                  <a:schemeClr val="tx1">
                    <a:lumMod val="65000"/>
                    <a:lumOff val="35000"/>
                  </a:schemeClr>
                </a:solidFill>
                <a:latin typeface="Times New Roman" panose="02020603050405020304" charset="0"/>
                <a:ea typeface="Times New Roman" panose="02020603050405020304" charset="0"/>
                <a:cs typeface="Times New Roman" panose="02020603050405020304" charset="0"/>
                <a:sym typeface="Times New Roman" panose="02020603050405020304" charset="0"/>
              </a:defRPr>
            </a:pPr>
            <a:endParaRPr lang="zh-CN"/>
          </a:p>
        </c:txPr>
      </c:legendEntry>
      <c:legendEntry>
        <c:idx val="1"/>
        <c:txPr>
          <a:bodyPr rot="0" spcFirstLastPara="0" vertOverflow="ellipsis" vert="horz" wrap="square" anchor="ctr" anchorCtr="1"/>
          <a:lstStyle/>
          <a:p>
            <a:pPr>
              <a:defRPr lang="zh-CN" sz="1000" b="0" i="0" u="none" strike="noStrike" kern="1200" baseline="0">
                <a:solidFill>
                  <a:schemeClr val="tx1">
                    <a:lumMod val="65000"/>
                    <a:lumOff val="35000"/>
                  </a:schemeClr>
                </a:solidFill>
                <a:latin typeface="Times New Roman" panose="02020603050405020304" charset="0"/>
                <a:ea typeface="Times New Roman" panose="02020603050405020304" charset="0"/>
                <a:cs typeface="Times New Roman" panose="02020603050405020304" charset="0"/>
                <a:sym typeface="Times New Roman" panose="02020603050405020304" charset="0"/>
              </a:defRPr>
            </a:pPr>
            <a:endParaRPr lang="zh-CN"/>
          </a:p>
        </c:txPr>
      </c:legendEntry>
      <c:legendEntry>
        <c:idx val="2"/>
        <c:txPr>
          <a:bodyPr rot="0" spcFirstLastPara="0" vertOverflow="ellipsis" vert="horz" wrap="square" anchor="ctr" anchorCtr="1"/>
          <a:lstStyle/>
          <a:p>
            <a:pPr>
              <a:defRPr lang="zh-CN" sz="1000" b="0" i="0" u="none" strike="noStrike" kern="1200" baseline="0">
                <a:solidFill>
                  <a:schemeClr val="tx1">
                    <a:lumMod val="65000"/>
                    <a:lumOff val="35000"/>
                  </a:schemeClr>
                </a:solidFill>
                <a:latin typeface="Times New Roman" panose="02020603050405020304" charset="0"/>
                <a:ea typeface="Times New Roman" panose="02020603050405020304" charset="0"/>
                <a:cs typeface="Times New Roman" panose="02020603050405020304" charset="0"/>
                <a:sym typeface="Times New Roman" panose="02020603050405020304" charset="0"/>
              </a:defRPr>
            </a:pPr>
            <a:endParaRPr lang="zh-CN"/>
          </a:p>
        </c:txPr>
      </c:legendEntry>
      <c:legendEntry>
        <c:idx val="3"/>
        <c:txPr>
          <a:bodyPr rot="0" spcFirstLastPara="0" vertOverflow="ellipsis" vert="horz" wrap="square" anchor="ctr" anchorCtr="1"/>
          <a:lstStyle/>
          <a:p>
            <a:pPr>
              <a:defRPr lang="zh-CN" sz="1000" b="0" i="0" u="none" strike="noStrike" kern="1200" baseline="0">
                <a:solidFill>
                  <a:schemeClr val="tx1">
                    <a:lumMod val="65000"/>
                    <a:lumOff val="35000"/>
                  </a:schemeClr>
                </a:solidFill>
                <a:latin typeface="Times New Roman" panose="02020603050405020304" charset="0"/>
                <a:ea typeface="Times New Roman" panose="02020603050405020304" charset="0"/>
                <a:cs typeface="Times New Roman" panose="02020603050405020304" charset="0"/>
                <a:sym typeface="Times New Roman" panose="02020603050405020304" charset="0"/>
              </a:defRPr>
            </a:pPr>
            <a:endParaRPr lang="zh-CN"/>
          </a:p>
        </c:txPr>
      </c:legendEntry>
      <c:legendEntry>
        <c:idx val="4"/>
        <c:txPr>
          <a:bodyPr rot="0" spcFirstLastPara="0" vertOverflow="ellipsis" vert="horz" wrap="square" anchor="ctr" anchorCtr="1"/>
          <a:lstStyle/>
          <a:p>
            <a:pPr>
              <a:defRPr lang="zh-CN" sz="1000" b="0" i="0" u="none" strike="noStrike" kern="1200" baseline="0">
                <a:solidFill>
                  <a:schemeClr val="tx1">
                    <a:lumMod val="65000"/>
                    <a:lumOff val="35000"/>
                  </a:schemeClr>
                </a:solidFill>
                <a:latin typeface="Times New Roman" panose="02020603050405020304" charset="0"/>
                <a:ea typeface="Times New Roman" panose="02020603050405020304" charset="0"/>
                <a:cs typeface="Times New Roman" panose="02020603050405020304" charset="0"/>
                <a:sym typeface="Times New Roman" panose="02020603050405020304" charset="0"/>
              </a:defRPr>
            </a:pPr>
            <a:endParaRPr lang="zh-CN"/>
          </a:p>
        </c:txPr>
      </c:legendEntry>
      <c:layout>
        <c:manualLayout>
          <c:xMode val="edge"/>
          <c:yMode val="edge"/>
          <c:x val="0.699012508229098"/>
          <c:y val="0.227912341407151"/>
          <c:w val="0.25872284397630002"/>
          <c:h val="0.57301038062283705"/>
        </c:manualLayout>
      </c:layout>
      <c:overlay val="0"/>
      <c:spPr>
        <a:noFill/>
        <a:ln>
          <a:noFill/>
        </a:ln>
        <a:effectLst/>
      </c:spPr>
      <c:txPr>
        <a:bodyPr rot="0" spcFirstLastPara="0" vertOverflow="ellipsis" vert="horz" wrap="square" anchor="ctr" anchorCtr="1"/>
        <a:lstStyle/>
        <a:p>
          <a:pPr>
            <a:defRPr lang="zh-CN" sz="1000" b="0" i="0" u="none" strike="noStrike" kern="1200" baseline="0">
              <a:solidFill>
                <a:schemeClr val="tx1">
                  <a:lumMod val="65000"/>
                  <a:lumOff val="35000"/>
                </a:schemeClr>
              </a:solidFill>
              <a:latin typeface="Times New Roman" panose="02020603050405020304" charset="0"/>
              <a:ea typeface="Times New Roman" panose="02020603050405020304" charset="0"/>
              <a:cs typeface="Times New Roman" panose="02020603050405020304" charset="0"/>
              <a:sym typeface="Times New Roman" panose="02020603050405020304" charset="0"/>
            </a:defRPr>
          </a:pPr>
          <a:endParaRPr lang="zh-CN"/>
        </a:p>
      </c:txPr>
    </c:legend>
    <c:plotVisOnly val="1"/>
    <c:dispBlanksAs val="gap"/>
    <c:showDLblsOverMax val="0"/>
  </c:chart>
  <c:spPr>
    <a:solidFill>
      <a:schemeClr val="bg1"/>
    </a:solidFill>
    <a:ln w="9525" cap="flat" cmpd="sng" algn="ctr">
      <a:noFill/>
      <a:round/>
    </a:ln>
    <a:effectLst/>
  </c:spPr>
  <c:txPr>
    <a:bodyPr/>
    <a:lstStyle/>
    <a:p>
      <a:pPr>
        <a:defRPr lang="zh-CN">
          <a:latin typeface="Times New Roman" panose="02020603050405020304" charset="0"/>
          <a:ea typeface="Times New Roman" panose="02020603050405020304" charset="0"/>
          <a:cs typeface="Times New Roman" panose="02020603050405020304" charset="0"/>
          <a:sym typeface="Times New Roman" panose="02020603050405020304" charset="0"/>
        </a:defRPr>
      </a:pPr>
      <a:endParaRPr lang="zh-CN"/>
    </a:p>
  </c:txPr>
  <c:externalData r:id="rId3">
    <c:autoUpdate val="0"/>
  </c:externalData>
</c:chartSpace>
</file>

<file path=word/charts/colors1.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style1.xml><?xml version="1.0" encoding="utf-8"?>
<cs:chartStyle xmlns:cs="http://schemas.microsoft.com/office/drawing/2012/chartStyle" xmlns:a="http://schemas.openxmlformats.org/drawingml/2006/main" id="10082">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900" kern="1200"/>
  </cs:chartArea>
  <cs:dataLabel>
    <cs:lnRef idx="0"/>
    <cs:fillRef idx="0"/>
    <cs:effectRef idx="0"/>
    <cs:fontRef idx="minor">
      <a:schemeClr val="tx1">
        <a:lumMod val="75000"/>
        <a:lumOff val="25000"/>
      </a:schemeClr>
    </cs:fontRef>
    <cs:defRPr sz="10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1000" kern="1200"/>
    <cs:bodyPr rot="0" spcFirstLastPara="1" vertOverflow="clip" horzOverflow="clip" vert="horz" wrap="square" lIns="36576" tIns="18288" rIns="36576" bIns="18288" anchor="ctr" anchorCtr="1">
      <a:spAutoFit/>
    </cs:bodyPr>
  </cs:dataLabelCallout>
  <cs:dataPoint>
    <cs:lnRef idx="0">
      <cs:styleClr val="auto"/>
    </cs:lnRef>
    <cs:fillRef idx="1">
      <cs:styleClr val="auto"/>
    </cs:fillRef>
    <cs:effectRef idx="0"/>
    <cs:fontRef idx="minor">
      <a:schemeClr val="dk1"/>
    </cs:fontRef>
    <cs:spPr>
      <a:ln>
        <a:solidFill>
          <a:schemeClr val="bg1"/>
        </a:solidFill>
      </a:ln>
      <a:effectLst/>
    </cs:spPr>
  </cs:dataPoint>
  <cs:dataPoint3D>
    <cs:lnRef idx="0"/>
    <cs:fillRef idx="1">
      <cs:styleClr val="auto"/>
    </cs:fillRef>
    <cs:effectRef idx="0"/>
    <cs:fontRef idx="minor">
      <a:schemeClr val="tx1"/>
    </cs:fontRef>
    <cs:spPr>
      <a:ln w="25400">
        <a:solidFill>
          <a:schemeClr val="lt1"/>
        </a:solidFill>
      </a:ln>
    </cs:spPr>
  </cs:dataPoint3D>
  <cs:dataPointLine>
    <cs:lnRef idx="0">
      <cs:styleClr val="auto"/>
    </cs:lnRef>
    <cs:fillRef idx="0"/>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0"/>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lt1">
            <a:lumMod val="902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75000"/>
        <a:lumOff val="25000"/>
      </a:schemeClr>
    </cs:fontRef>
    <cs:defRPr sz="1400" b="1" kern="120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等线"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10</Pages>
  <Words>949</Words>
  <Characters>5415</Characters>
  <Application>Microsoft Office Word</Application>
  <DocSecurity>0</DocSecurity>
  <Lines>45</Lines>
  <Paragraphs>12</Paragraphs>
  <ScaleCrop>false</ScaleCrop>
  <Company/>
  <LinksUpToDate>false</LinksUpToDate>
  <CharactersWithSpaces>6352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俊超 陈</dc:creator>
  <cp:keywords/>
  <dc:description/>
  <cp:lastModifiedBy>俊超 陈</cp:lastModifiedBy>
  <cp:revision>2</cp:revision>
  <dcterms:created xsi:type="dcterms:W3CDTF">2024-08-15T08:17:00Z</dcterms:created>
  <dcterms:modified xsi:type="dcterms:W3CDTF">2024-08-15T08:17:00Z</dcterms:modified>
</cp:coreProperties>
</file>